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A11" w:rsidRPr="00501161" w:rsidRDefault="00842BAF" w:rsidP="00443F58">
      <w:pPr>
        <w:spacing w:line="276" w:lineRule="auto"/>
        <w:ind w:right="-96"/>
        <w:rPr>
          <w:rFonts w:ascii="Arial" w:hAnsi="Arial" w:cs="Arial"/>
          <w:sz w:val="22"/>
          <w:szCs w:val="22"/>
        </w:rPr>
      </w:pPr>
      <w:r>
        <w:rPr>
          <w:rFonts w:ascii="Arial" w:hAnsi="Arial" w:cs="Arial"/>
          <w:noProof/>
          <w:sz w:val="22"/>
          <w:szCs w:val="22"/>
        </w:rPr>
        <w:drawing>
          <wp:inline distT="0" distB="0" distL="0" distR="0">
            <wp:extent cx="2647315" cy="584835"/>
            <wp:effectExtent l="19050" t="0" r="635" b="0"/>
            <wp:docPr id="15" name="Picture 1" descr="C:\Users\nicole\AppData\Local\Microsoft\Windows\Temporary Internet Files\Content.Outlook\S7QVDQ73\745 BSL logo colr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ole\AppData\Local\Microsoft\Windows\Temporary Internet Files\Content.Outlook\S7QVDQ73\745 BSL logo colr B.jpg"/>
                    <pic:cNvPicPr>
                      <a:picLocks noChangeAspect="1" noChangeArrowheads="1"/>
                    </pic:cNvPicPr>
                  </pic:nvPicPr>
                  <pic:blipFill>
                    <a:blip r:embed="rId8" cstate="email"/>
                    <a:srcRect/>
                    <a:stretch>
                      <a:fillRect/>
                    </a:stretch>
                  </pic:blipFill>
                  <pic:spPr bwMode="auto">
                    <a:xfrm>
                      <a:off x="0" y="0"/>
                      <a:ext cx="2647315" cy="584835"/>
                    </a:xfrm>
                    <a:prstGeom prst="rect">
                      <a:avLst/>
                    </a:prstGeom>
                    <a:noFill/>
                    <a:ln w="9525">
                      <a:noFill/>
                      <a:miter lim="800000"/>
                      <a:headEnd/>
                      <a:tailEnd/>
                    </a:ln>
                  </pic:spPr>
                </pic:pic>
              </a:graphicData>
            </a:graphic>
          </wp:inline>
        </w:drawing>
      </w:r>
      <w:r>
        <w:rPr>
          <w:rFonts w:ascii="Arial" w:hAnsi="Arial" w:cs="Arial"/>
          <w:sz w:val="22"/>
          <w:szCs w:val="22"/>
        </w:rPr>
        <w:tab/>
      </w:r>
      <w:r w:rsidR="00C332B5">
        <w:rPr>
          <w:rFonts w:ascii="Arial" w:hAnsi="Arial" w:cs="Arial"/>
          <w:sz w:val="22"/>
          <w:szCs w:val="22"/>
        </w:rPr>
        <w:tab/>
      </w:r>
      <w:r w:rsidR="00550C5D">
        <w:rPr>
          <w:rFonts w:ascii="Arial" w:hAnsi="Arial" w:cs="Arial"/>
          <w:sz w:val="22"/>
          <w:szCs w:val="22"/>
        </w:rPr>
        <w:tab/>
      </w:r>
      <w:r w:rsidR="00C332B5">
        <w:rPr>
          <w:rFonts w:ascii="Arial" w:hAnsi="Arial" w:cs="Arial"/>
          <w:noProof/>
          <w:sz w:val="22"/>
          <w:szCs w:val="22"/>
        </w:rPr>
        <w:drawing>
          <wp:inline distT="0" distB="0" distL="0" distR="0">
            <wp:extent cx="1507284" cy="931740"/>
            <wp:effectExtent l="19050" t="0" r="0" b="0"/>
            <wp:docPr id="5" name="Picture 5" descr="C:\Users\nicole\AppData\Local\Microsoft\Windows\Temporary Internet Files\Content.Outlook\S7QVDQ73\Choic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icole\AppData\Local\Microsoft\Windows\Temporary Internet Files\Content.Outlook\S7QVDQ73\Choice logo.jpg"/>
                    <pic:cNvPicPr>
                      <a:picLocks noChangeAspect="1" noChangeArrowheads="1"/>
                    </pic:cNvPicPr>
                  </pic:nvPicPr>
                  <pic:blipFill>
                    <a:blip r:embed="rId9" cstate="email"/>
                    <a:srcRect/>
                    <a:stretch>
                      <a:fillRect/>
                    </a:stretch>
                  </pic:blipFill>
                  <pic:spPr bwMode="auto">
                    <a:xfrm>
                      <a:off x="0" y="0"/>
                      <a:ext cx="1507434" cy="931833"/>
                    </a:xfrm>
                    <a:prstGeom prst="rect">
                      <a:avLst/>
                    </a:prstGeom>
                    <a:noFill/>
                    <a:ln w="9525">
                      <a:noFill/>
                      <a:miter lim="800000"/>
                      <a:headEnd/>
                      <a:tailEnd/>
                    </a:ln>
                  </pic:spPr>
                </pic:pic>
              </a:graphicData>
            </a:graphic>
          </wp:inline>
        </w:drawing>
      </w:r>
    </w:p>
    <w:p w:rsidR="00550C5D" w:rsidRDefault="00550C5D" w:rsidP="00443F58">
      <w:pPr>
        <w:spacing w:line="276" w:lineRule="auto"/>
        <w:ind w:right="-96"/>
        <w:rPr>
          <w:rFonts w:ascii="Arial" w:hAnsi="Arial" w:cs="Arial"/>
          <w:sz w:val="22"/>
          <w:szCs w:val="22"/>
        </w:rPr>
      </w:pPr>
    </w:p>
    <w:p w:rsidR="002A3579" w:rsidRDefault="003C3055" w:rsidP="00443F58">
      <w:pPr>
        <w:spacing w:line="276" w:lineRule="auto"/>
        <w:ind w:right="-96"/>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simplePos x="0" y="0"/>
            <wp:positionH relativeFrom="column">
              <wp:posOffset>3924123</wp:posOffset>
            </wp:positionH>
            <wp:positionV relativeFrom="paragraph">
              <wp:posOffset>338263</wp:posOffset>
            </wp:positionV>
            <wp:extent cx="1607732" cy="786809"/>
            <wp:effectExtent l="19050" t="0" r="0" b="0"/>
            <wp:wrapNone/>
            <wp:docPr id="8" name="Picture 2" descr="ILS-logo-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S-logo-large"/>
                    <pic:cNvPicPr>
                      <a:picLocks noChangeAspect="1" noChangeArrowheads="1"/>
                    </pic:cNvPicPr>
                  </pic:nvPicPr>
                  <pic:blipFill>
                    <a:blip r:embed="rId10" cstate="email"/>
                    <a:srcRect/>
                    <a:stretch>
                      <a:fillRect/>
                    </a:stretch>
                  </pic:blipFill>
                  <pic:spPr bwMode="auto">
                    <a:xfrm>
                      <a:off x="0" y="0"/>
                      <a:ext cx="1607732" cy="786809"/>
                    </a:xfrm>
                    <a:prstGeom prst="rect">
                      <a:avLst/>
                    </a:prstGeom>
                    <a:noFill/>
                  </pic:spPr>
                </pic:pic>
              </a:graphicData>
            </a:graphic>
          </wp:anchor>
        </w:drawing>
      </w:r>
      <w:r w:rsidR="00530D59">
        <w:rPr>
          <w:rFonts w:ascii="Arial" w:hAnsi="Arial" w:cs="Arial"/>
          <w:noProof/>
          <w:sz w:val="22"/>
          <w:szCs w:val="22"/>
        </w:rPr>
        <w:drawing>
          <wp:inline distT="0" distB="0" distL="0" distR="0">
            <wp:extent cx="2212113" cy="1010094"/>
            <wp:effectExtent l="19050" t="0" r="0" b="0"/>
            <wp:docPr id="18" name="Picture 1" descr="C:\Users\nicole\AppData\Local\Microsoft\Windows\Temporary Internet Files\Content.Outlook\S7QVDQ73\FCL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ole\AppData\Local\Microsoft\Windows\Temporary Internet Files\Content.Outlook\S7QVDQ73\FCLC logo.JPG"/>
                    <pic:cNvPicPr>
                      <a:picLocks noChangeAspect="1" noChangeArrowheads="1"/>
                    </pic:cNvPicPr>
                  </pic:nvPicPr>
                  <pic:blipFill>
                    <a:blip r:embed="rId11" cstate="email"/>
                    <a:srcRect/>
                    <a:stretch>
                      <a:fillRect/>
                    </a:stretch>
                  </pic:blipFill>
                  <pic:spPr bwMode="auto">
                    <a:xfrm>
                      <a:off x="0" y="0"/>
                      <a:ext cx="2216859" cy="1012261"/>
                    </a:xfrm>
                    <a:prstGeom prst="rect">
                      <a:avLst/>
                    </a:prstGeom>
                    <a:noFill/>
                    <a:ln w="9525">
                      <a:noFill/>
                      <a:miter lim="800000"/>
                      <a:headEnd/>
                      <a:tailEnd/>
                    </a:ln>
                  </pic:spPr>
                </pic:pic>
              </a:graphicData>
            </a:graphic>
          </wp:inline>
        </w:drawing>
      </w:r>
      <w:r w:rsidR="00550C5D">
        <w:rPr>
          <w:rFonts w:ascii="Arial" w:hAnsi="Arial" w:cs="Arial"/>
          <w:sz w:val="22"/>
          <w:szCs w:val="22"/>
        </w:rPr>
        <w:tab/>
        <w:t xml:space="preserve">    </w:t>
      </w:r>
      <w:r w:rsidR="00550C5D">
        <w:rPr>
          <w:rFonts w:ascii="Arial" w:hAnsi="Arial" w:cs="Arial"/>
          <w:noProof/>
          <w:sz w:val="22"/>
          <w:szCs w:val="22"/>
        </w:rPr>
        <w:drawing>
          <wp:inline distT="0" distB="0" distL="0" distR="0">
            <wp:extent cx="854973" cy="1350335"/>
            <wp:effectExtent l="19050" t="0" r="2277" b="0"/>
            <wp:docPr id="9" name="Picture 1" descr="C:\Users\nicole\AppData\Local\Microsoft\Windows\Temporary Internet Files\Content.Outlook\S7QVDQ73\fca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ole\AppData\Local\Microsoft\Windows\Temporary Internet Files\Content.Outlook\S7QVDQ73\fca_portrait.jpg"/>
                    <pic:cNvPicPr>
                      <a:picLocks noChangeAspect="1" noChangeArrowheads="1"/>
                    </pic:cNvPicPr>
                  </pic:nvPicPr>
                  <pic:blipFill>
                    <a:blip r:embed="rId12" cstate="email"/>
                    <a:srcRect/>
                    <a:stretch>
                      <a:fillRect/>
                    </a:stretch>
                  </pic:blipFill>
                  <pic:spPr bwMode="auto">
                    <a:xfrm>
                      <a:off x="0" y="0"/>
                      <a:ext cx="855023" cy="1350414"/>
                    </a:xfrm>
                    <a:prstGeom prst="rect">
                      <a:avLst/>
                    </a:prstGeom>
                    <a:noFill/>
                    <a:ln w="9525">
                      <a:noFill/>
                      <a:miter lim="800000"/>
                      <a:headEnd/>
                      <a:tailEnd/>
                    </a:ln>
                  </pic:spPr>
                </pic:pic>
              </a:graphicData>
            </a:graphic>
          </wp:inline>
        </w:drawing>
      </w:r>
    </w:p>
    <w:p w:rsidR="00842BAF" w:rsidRDefault="00550C5D" w:rsidP="00443F58">
      <w:pPr>
        <w:spacing w:line="276" w:lineRule="auto"/>
        <w:ind w:right="-96"/>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3466923</wp:posOffset>
            </wp:positionH>
            <wp:positionV relativeFrom="paragraph">
              <wp:posOffset>242319</wp:posOffset>
            </wp:positionV>
            <wp:extent cx="1926708" cy="637953"/>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email"/>
                    <a:srcRect/>
                    <a:stretch>
                      <a:fillRect/>
                    </a:stretch>
                  </pic:blipFill>
                  <pic:spPr bwMode="auto">
                    <a:xfrm>
                      <a:off x="0" y="0"/>
                      <a:ext cx="1926708" cy="637953"/>
                    </a:xfrm>
                    <a:prstGeom prst="rect">
                      <a:avLst/>
                    </a:prstGeom>
                    <a:noFill/>
                  </pic:spPr>
                </pic:pic>
              </a:graphicData>
            </a:graphic>
          </wp:anchor>
        </w:drawing>
      </w:r>
      <w:r>
        <w:rPr>
          <w:rFonts w:ascii="Arial" w:hAnsi="Arial" w:cs="Arial"/>
          <w:sz w:val="22"/>
          <w:szCs w:val="22"/>
        </w:rPr>
        <w:tab/>
      </w:r>
      <w:r>
        <w:rPr>
          <w:noProof/>
        </w:rPr>
        <w:drawing>
          <wp:inline distT="0" distB="0" distL="0" distR="0">
            <wp:extent cx="1977390" cy="882650"/>
            <wp:effectExtent l="19050" t="0" r="381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email"/>
                    <a:srcRect/>
                    <a:stretch>
                      <a:fillRect/>
                    </a:stretch>
                  </pic:blipFill>
                  <pic:spPr bwMode="auto">
                    <a:xfrm>
                      <a:off x="0" y="0"/>
                      <a:ext cx="1977390" cy="882650"/>
                    </a:xfrm>
                    <a:prstGeom prst="rect">
                      <a:avLst/>
                    </a:prstGeom>
                    <a:noFill/>
                    <a:ln w="9525">
                      <a:noFill/>
                      <a:miter lim="800000"/>
                      <a:headEnd/>
                      <a:tailEnd/>
                    </a:ln>
                  </pic:spPr>
                </pic:pic>
              </a:graphicData>
            </a:graphic>
          </wp:inline>
        </w:drawing>
      </w:r>
    </w:p>
    <w:p w:rsidR="00550C5D" w:rsidRDefault="00550C5D" w:rsidP="00443F58">
      <w:pPr>
        <w:spacing w:line="276" w:lineRule="auto"/>
        <w:ind w:right="-96"/>
        <w:rPr>
          <w:rFonts w:ascii="Arial" w:hAnsi="Arial" w:cs="Arial"/>
          <w:sz w:val="22"/>
          <w:szCs w:val="22"/>
        </w:rPr>
      </w:pPr>
    </w:p>
    <w:p w:rsidR="00312829" w:rsidRPr="00501161" w:rsidRDefault="00F81094" w:rsidP="00443F58">
      <w:pPr>
        <w:spacing w:line="276" w:lineRule="auto"/>
        <w:ind w:right="-96"/>
        <w:rPr>
          <w:rFonts w:ascii="Arial" w:hAnsi="Arial" w:cs="Arial"/>
          <w:sz w:val="22"/>
          <w:szCs w:val="22"/>
        </w:rPr>
      </w:pPr>
      <w:r>
        <w:rPr>
          <w:rFonts w:ascii="Arial" w:hAnsi="Arial" w:cs="Arial"/>
          <w:sz w:val="22"/>
          <w:szCs w:val="22"/>
        </w:rPr>
        <w:t>13</w:t>
      </w:r>
      <w:r w:rsidR="0015080D" w:rsidRPr="00501161">
        <w:rPr>
          <w:rFonts w:ascii="Arial" w:hAnsi="Arial" w:cs="Arial"/>
          <w:sz w:val="22"/>
          <w:szCs w:val="22"/>
        </w:rPr>
        <w:t xml:space="preserve"> </w:t>
      </w:r>
      <w:r w:rsidR="002E17BA" w:rsidRPr="00501161">
        <w:rPr>
          <w:rFonts w:ascii="Arial" w:hAnsi="Arial" w:cs="Arial"/>
          <w:sz w:val="22"/>
          <w:szCs w:val="22"/>
        </w:rPr>
        <w:t>May</w:t>
      </w:r>
      <w:r w:rsidR="00312829" w:rsidRPr="00501161">
        <w:rPr>
          <w:rFonts w:ascii="Arial" w:hAnsi="Arial" w:cs="Arial"/>
          <w:sz w:val="22"/>
          <w:szCs w:val="22"/>
        </w:rPr>
        <w:t xml:space="preserve"> 20</w:t>
      </w:r>
      <w:r w:rsidR="002E17BA" w:rsidRPr="00501161">
        <w:rPr>
          <w:rFonts w:ascii="Arial" w:hAnsi="Arial" w:cs="Arial"/>
          <w:sz w:val="22"/>
          <w:szCs w:val="22"/>
        </w:rPr>
        <w:t>11</w:t>
      </w:r>
    </w:p>
    <w:p w:rsidR="00312829" w:rsidRPr="00501161" w:rsidRDefault="00312829" w:rsidP="00443F58">
      <w:pPr>
        <w:spacing w:line="276" w:lineRule="auto"/>
        <w:ind w:right="-96"/>
        <w:rPr>
          <w:rFonts w:ascii="Arial" w:hAnsi="Arial" w:cs="Arial"/>
          <w:sz w:val="22"/>
          <w:szCs w:val="22"/>
        </w:rPr>
      </w:pPr>
    </w:p>
    <w:p w:rsidR="00312829" w:rsidRPr="00501161" w:rsidRDefault="00312829" w:rsidP="00443F58">
      <w:pPr>
        <w:spacing w:line="276" w:lineRule="auto"/>
        <w:ind w:right="-96"/>
        <w:rPr>
          <w:rFonts w:ascii="Arial" w:hAnsi="Arial" w:cs="Arial"/>
          <w:b/>
          <w:sz w:val="22"/>
          <w:szCs w:val="22"/>
        </w:rPr>
      </w:pPr>
      <w:r w:rsidRPr="00501161">
        <w:rPr>
          <w:rFonts w:ascii="Arial" w:hAnsi="Arial" w:cs="Arial"/>
          <w:b/>
          <w:sz w:val="22"/>
          <w:szCs w:val="22"/>
        </w:rPr>
        <w:t>By email:</w:t>
      </w:r>
      <w:r w:rsidR="002E17BA" w:rsidRPr="00501161">
        <w:rPr>
          <w:rFonts w:ascii="Arial" w:hAnsi="Arial" w:cs="Arial"/>
          <w:b/>
          <w:sz w:val="22"/>
          <w:szCs w:val="22"/>
        </w:rPr>
        <w:t xml:space="preserve"> icareview@treasury.gov.au</w:t>
      </w:r>
    </w:p>
    <w:p w:rsidR="00312829" w:rsidRPr="00501161" w:rsidRDefault="00312829" w:rsidP="00443F58">
      <w:pPr>
        <w:spacing w:line="276" w:lineRule="auto"/>
        <w:ind w:right="-96"/>
        <w:rPr>
          <w:rFonts w:ascii="Arial" w:hAnsi="Arial" w:cs="Arial"/>
          <w:b/>
          <w:sz w:val="22"/>
          <w:szCs w:val="22"/>
        </w:rPr>
      </w:pPr>
    </w:p>
    <w:p w:rsidR="006062E6" w:rsidRPr="00501161" w:rsidRDefault="002E17BA" w:rsidP="00443F58">
      <w:pPr>
        <w:ind w:right="-96"/>
        <w:rPr>
          <w:rFonts w:ascii="Arial" w:hAnsi="Arial" w:cs="Arial"/>
          <w:sz w:val="22"/>
          <w:szCs w:val="22"/>
          <w:lang w:val="en-US"/>
        </w:rPr>
      </w:pPr>
      <w:r w:rsidRPr="00501161">
        <w:rPr>
          <w:rFonts w:ascii="Arial" w:hAnsi="Arial" w:cs="Arial"/>
          <w:sz w:val="22"/>
          <w:szCs w:val="22"/>
          <w:lang w:val="en-US"/>
        </w:rPr>
        <w:t>Flood Insurance: Proposed Reforms</w:t>
      </w:r>
    </w:p>
    <w:p w:rsidR="00BC2F81" w:rsidRPr="00501161" w:rsidRDefault="002E17BA" w:rsidP="00443F58">
      <w:pPr>
        <w:ind w:right="-96"/>
        <w:rPr>
          <w:rFonts w:ascii="Arial" w:hAnsi="Arial" w:cs="Arial"/>
          <w:sz w:val="22"/>
          <w:szCs w:val="22"/>
          <w:lang w:val="en-US"/>
        </w:rPr>
      </w:pPr>
      <w:r w:rsidRPr="00501161">
        <w:rPr>
          <w:rFonts w:ascii="Arial" w:hAnsi="Arial" w:cs="Arial"/>
          <w:sz w:val="22"/>
          <w:szCs w:val="22"/>
          <w:lang w:val="en-US"/>
        </w:rPr>
        <w:t>c/- Insurance Contracts Act Review</w:t>
      </w:r>
    </w:p>
    <w:p w:rsidR="00BC2F81" w:rsidRPr="00501161" w:rsidRDefault="002E17BA" w:rsidP="00443F58">
      <w:pPr>
        <w:ind w:right="-96"/>
        <w:rPr>
          <w:rFonts w:ascii="Arial" w:hAnsi="Arial" w:cs="Arial"/>
          <w:sz w:val="22"/>
          <w:szCs w:val="22"/>
          <w:lang w:val="en-US"/>
        </w:rPr>
      </w:pPr>
      <w:r w:rsidRPr="00501161">
        <w:rPr>
          <w:rFonts w:ascii="Arial" w:hAnsi="Arial" w:cs="Arial"/>
          <w:sz w:val="22"/>
          <w:szCs w:val="22"/>
          <w:lang w:val="en-US"/>
        </w:rPr>
        <w:t>The Treasury</w:t>
      </w:r>
    </w:p>
    <w:p w:rsidR="002E17BA" w:rsidRPr="00501161" w:rsidRDefault="002E17BA" w:rsidP="00443F58">
      <w:pPr>
        <w:ind w:right="-96"/>
        <w:rPr>
          <w:rFonts w:ascii="Arial" w:hAnsi="Arial" w:cs="Arial"/>
          <w:sz w:val="22"/>
          <w:szCs w:val="22"/>
          <w:lang w:val="en-US"/>
        </w:rPr>
      </w:pPr>
      <w:r w:rsidRPr="00501161">
        <w:rPr>
          <w:rFonts w:ascii="Arial" w:hAnsi="Arial" w:cs="Arial"/>
          <w:sz w:val="22"/>
          <w:szCs w:val="22"/>
          <w:lang w:val="en-US"/>
        </w:rPr>
        <w:t>Langton Crescent</w:t>
      </w:r>
    </w:p>
    <w:p w:rsidR="002E17BA" w:rsidRPr="00501161" w:rsidRDefault="002E17BA" w:rsidP="00443F58">
      <w:pPr>
        <w:ind w:right="-96"/>
        <w:rPr>
          <w:rFonts w:ascii="Arial" w:hAnsi="Arial" w:cs="Arial"/>
          <w:sz w:val="22"/>
          <w:szCs w:val="22"/>
          <w:lang w:val="en-US"/>
        </w:rPr>
      </w:pPr>
      <w:r w:rsidRPr="00501161">
        <w:rPr>
          <w:rFonts w:ascii="Arial" w:hAnsi="Arial" w:cs="Arial"/>
          <w:sz w:val="22"/>
          <w:szCs w:val="22"/>
          <w:lang w:val="en-US"/>
        </w:rPr>
        <w:t>PARKES ACT 2600</w:t>
      </w:r>
    </w:p>
    <w:p w:rsidR="00BC2F81" w:rsidRPr="00501161" w:rsidRDefault="00BC2F81" w:rsidP="00443F58">
      <w:pPr>
        <w:ind w:right="-96"/>
        <w:rPr>
          <w:rFonts w:ascii="Arial" w:hAnsi="Arial" w:cs="Arial"/>
          <w:b/>
          <w:sz w:val="22"/>
          <w:szCs w:val="22"/>
        </w:rPr>
      </w:pPr>
    </w:p>
    <w:p w:rsidR="006062E6" w:rsidRPr="00501161" w:rsidRDefault="006062E6" w:rsidP="00443F58">
      <w:pPr>
        <w:ind w:right="-96"/>
        <w:rPr>
          <w:rFonts w:ascii="Arial" w:hAnsi="Arial" w:cs="Arial"/>
          <w:sz w:val="22"/>
          <w:szCs w:val="22"/>
          <w:lang w:val="en-US"/>
        </w:rPr>
      </w:pPr>
    </w:p>
    <w:p w:rsidR="00312829" w:rsidRPr="00501161" w:rsidRDefault="00312829" w:rsidP="00443F58">
      <w:pPr>
        <w:spacing w:line="276" w:lineRule="auto"/>
        <w:ind w:right="-96"/>
        <w:rPr>
          <w:rFonts w:ascii="Arial" w:hAnsi="Arial" w:cs="Arial"/>
          <w:sz w:val="22"/>
          <w:szCs w:val="22"/>
        </w:rPr>
      </w:pPr>
      <w:r w:rsidRPr="00BD6ECF">
        <w:rPr>
          <w:rFonts w:ascii="Arial" w:hAnsi="Arial" w:cs="Arial"/>
          <w:sz w:val="22"/>
          <w:szCs w:val="22"/>
        </w:rPr>
        <w:t xml:space="preserve">Dear </w:t>
      </w:r>
      <w:r w:rsidR="00BD6ECF">
        <w:rPr>
          <w:rFonts w:ascii="Arial" w:hAnsi="Arial" w:cs="Arial"/>
          <w:sz w:val="22"/>
          <w:szCs w:val="22"/>
        </w:rPr>
        <w:t>Sir/Madam</w:t>
      </w:r>
    </w:p>
    <w:p w:rsidR="00312829" w:rsidRPr="00501161" w:rsidRDefault="00312829" w:rsidP="00443F58">
      <w:pPr>
        <w:spacing w:line="276" w:lineRule="auto"/>
        <w:ind w:right="-96"/>
        <w:rPr>
          <w:rFonts w:ascii="Arial" w:hAnsi="Arial" w:cs="Arial"/>
          <w:sz w:val="22"/>
          <w:szCs w:val="22"/>
        </w:rPr>
      </w:pPr>
    </w:p>
    <w:p w:rsidR="00312829" w:rsidRPr="00501161" w:rsidRDefault="00E41739" w:rsidP="00443F58">
      <w:pPr>
        <w:spacing w:line="276" w:lineRule="auto"/>
        <w:ind w:right="-96"/>
        <w:rPr>
          <w:rFonts w:ascii="Arial" w:hAnsi="Arial" w:cs="Arial"/>
          <w:sz w:val="22"/>
          <w:szCs w:val="22"/>
        </w:rPr>
      </w:pPr>
      <w:r w:rsidRPr="00501161">
        <w:rPr>
          <w:rFonts w:ascii="Arial" w:hAnsi="Arial" w:cs="Arial"/>
          <w:b/>
          <w:sz w:val="22"/>
          <w:szCs w:val="22"/>
        </w:rPr>
        <w:t xml:space="preserve">Joint submission to </w:t>
      </w:r>
      <w:r w:rsidRPr="00501161">
        <w:rPr>
          <w:rFonts w:ascii="Arial" w:hAnsi="Arial" w:cs="Arial"/>
          <w:b/>
          <w:i/>
          <w:sz w:val="22"/>
          <w:szCs w:val="22"/>
        </w:rPr>
        <w:t>Reforming Flood Insurance: Clearing the Waters</w:t>
      </w:r>
      <w:r w:rsidRPr="00501161">
        <w:rPr>
          <w:rFonts w:ascii="Arial" w:hAnsi="Arial" w:cs="Arial"/>
          <w:b/>
          <w:sz w:val="22"/>
          <w:szCs w:val="22"/>
        </w:rPr>
        <w:t xml:space="preserve"> discussion paper</w:t>
      </w:r>
    </w:p>
    <w:p w:rsidR="00312829" w:rsidRPr="00501161" w:rsidRDefault="00312829" w:rsidP="00443F58">
      <w:pPr>
        <w:spacing w:line="276" w:lineRule="auto"/>
        <w:ind w:right="-96"/>
        <w:rPr>
          <w:rFonts w:ascii="Arial" w:hAnsi="Arial" w:cs="Arial"/>
          <w:sz w:val="22"/>
          <w:szCs w:val="22"/>
        </w:rPr>
      </w:pPr>
    </w:p>
    <w:p w:rsidR="00312829" w:rsidRPr="00501161" w:rsidRDefault="00C66842" w:rsidP="00443F58">
      <w:pPr>
        <w:spacing w:line="276" w:lineRule="auto"/>
        <w:ind w:right="-96"/>
        <w:jc w:val="both"/>
        <w:rPr>
          <w:rFonts w:ascii="Arial" w:hAnsi="Arial" w:cs="Arial"/>
          <w:sz w:val="22"/>
          <w:szCs w:val="22"/>
        </w:rPr>
      </w:pPr>
      <w:r w:rsidRPr="00501161">
        <w:rPr>
          <w:rFonts w:ascii="Arial" w:hAnsi="Arial" w:cs="Arial"/>
          <w:sz w:val="22"/>
          <w:szCs w:val="22"/>
        </w:rPr>
        <w:t xml:space="preserve">The following is a joint </w:t>
      </w:r>
      <w:r w:rsidR="006646D7" w:rsidRPr="00501161">
        <w:rPr>
          <w:rFonts w:ascii="Arial" w:hAnsi="Arial" w:cs="Arial"/>
          <w:sz w:val="22"/>
          <w:szCs w:val="22"/>
        </w:rPr>
        <w:t xml:space="preserve">consumer </w:t>
      </w:r>
      <w:r w:rsidRPr="00501161">
        <w:rPr>
          <w:rFonts w:ascii="Arial" w:hAnsi="Arial" w:cs="Arial"/>
          <w:sz w:val="22"/>
          <w:szCs w:val="22"/>
        </w:rPr>
        <w:t xml:space="preserve">submission </w:t>
      </w:r>
      <w:r w:rsidR="00501161">
        <w:rPr>
          <w:rFonts w:ascii="Arial" w:hAnsi="Arial" w:cs="Arial"/>
          <w:sz w:val="22"/>
          <w:szCs w:val="22"/>
        </w:rPr>
        <w:t xml:space="preserve">in response to </w:t>
      </w:r>
      <w:r w:rsidRPr="00501161">
        <w:rPr>
          <w:rFonts w:ascii="Arial" w:hAnsi="Arial" w:cs="Arial"/>
          <w:sz w:val="22"/>
          <w:szCs w:val="22"/>
        </w:rPr>
        <w:t xml:space="preserve">the </w:t>
      </w:r>
      <w:r w:rsidRPr="00501161">
        <w:rPr>
          <w:rFonts w:ascii="Arial" w:hAnsi="Arial" w:cs="Arial"/>
          <w:i/>
          <w:sz w:val="22"/>
          <w:szCs w:val="22"/>
        </w:rPr>
        <w:t xml:space="preserve">Clearing the Waters </w:t>
      </w:r>
      <w:r w:rsidRPr="00501161">
        <w:rPr>
          <w:rFonts w:ascii="Arial" w:hAnsi="Arial" w:cs="Arial"/>
          <w:sz w:val="22"/>
          <w:szCs w:val="22"/>
        </w:rPr>
        <w:t xml:space="preserve">discussion paper (the discussion paper) </w:t>
      </w:r>
      <w:r w:rsidR="00501161">
        <w:rPr>
          <w:rFonts w:ascii="Arial" w:hAnsi="Arial" w:cs="Arial"/>
          <w:sz w:val="22"/>
          <w:szCs w:val="22"/>
        </w:rPr>
        <w:t>released by the Australian Government on 5 April 2011.  T</w:t>
      </w:r>
      <w:r w:rsidRPr="00501161">
        <w:rPr>
          <w:rFonts w:ascii="Arial" w:hAnsi="Arial" w:cs="Arial"/>
          <w:sz w:val="22"/>
          <w:szCs w:val="22"/>
        </w:rPr>
        <w:t>he Brotherhood of St Laurence</w:t>
      </w:r>
      <w:r w:rsidR="006646D7" w:rsidRPr="00501161">
        <w:rPr>
          <w:rFonts w:ascii="Arial" w:hAnsi="Arial" w:cs="Arial"/>
          <w:sz w:val="22"/>
          <w:szCs w:val="22"/>
        </w:rPr>
        <w:t>,</w:t>
      </w:r>
      <w:r w:rsidRPr="00501161">
        <w:rPr>
          <w:rFonts w:ascii="Arial" w:hAnsi="Arial" w:cs="Arial"/>
          <w:sz w:val="22"/>
          <w:szCs w:val="22"/>
        </w:rPr>
        <w:t xml:space="preserve"> Choice, </w:t>
      </w:r>
      <w:r w:rsidR="00312829" w:rsidRPr="00501161">
        <w:rPr>
          <w:rFonts w:ascii="Arial" w:hAnsi="Arial" w:cs="Arial"/>
          <w:sz w:val="22"/>
          <w:szCs w:val="22"/>
        </w:rPr>
        <w:t>Consumer Action Law Centre</w:t>
      </w:r>
      <w:r w:rsidRPr="00501161">
        <w:rPr>
          <w:rFonts w:ascii="Arial" w:hAnsi="Arial" w:cs="Arial"/>
          <w:sz w:val="22"/>
          <w:szCs w:val="22"/>
        </w:rPr>
        <w:t xml:space="preserve">, </w:t>
      </w:r>
      <w:r w:rsidR="00BD6ECF" w:rsidRPr="00501161">
        <w:rPr>
          <w:rFonts w:ascii="Arial" w:hAnsi="Arial" w:cs="Arial"/>
          <w:sz w:val="22"/>
          <w:szCs w:val="22"/>
        </w:rPr>
        <w:t xml:space="preserve">Financial Counselling </w:t>
      </w:r>
      <w:r w:rsidR="00BD6ECF">
        <w:rPr>
          <w:rFonts w:ascii="Arial" w:hAnsi="Arial" w:cs="Arial"/>
          <w:sz w:val="22"/>
          <w:szCs w:val="22"/>
        </w:rPr>
        <w:t xml:space="preserve">Australia, </w:t>
      </w:r>
      <w:r w:rsidR="00BD6ECF" w:rsidRPr="00501161">
        <w:rPr>
          <w:rFonts w:ascii="Arial" w:hAnsi="Arial" w:cs="Arial"/>
          <w:sz w:val="22"/>
          <w:szCs w:val="22"/>
        </w:rPr>
        <w:t>Footscray Community Legal Centre</w:t>
      </w:r>
      <w:r w:rsidR="00BD6ECF">
        <w:rPr>
          <w:rFonts w:ascii="Arial" w:hAnsi="Arial" w:cs="Arial"/>
          <w:sz w:val="22"/>
          <w:szCs w:val="22"/>
        </w:rPr>
        <w:t xml:space="preserve">, </w:t>
      </w:r>
      <w:r w:rsidR="00BD6ECF" w:rsidRPr="00501161">
        <w:rPr>
          <w:rFonts w:ascii="Arial" w:hAnsi="Arial" w:cs="Arial"/>
          <w:sz w:val="22"/>
          <w:szCs w:val="22"/>
        </w:rPr>
        <w:t>Insurance Law Service</w:t>
      </w:r>
      <w:r w:rsidR="00BD6ECF">
        <w:rPr>
          <w:rFonts w:ascii="Arial" w:hAnsi="Arial" w:cs="Arial"/>
          <w:sz w:val="22"/>
          <w:szCs w:val="22"/>
        </w:rPr>
        <w:t xml:space="preserve"> </w:t>
      </w:r>
      <w:r w:rsidR="00BD6ECF" w:rsidRPr="00501161">
        <w:rPr>
          <w:rFonts w:ascii="Arial" w:hAnsi="Arial" w:cs="Arial"/>
          <w:sz w:val="22"/>
          <w:szCs w:val="22"/>
        </w:rPr>
        <w:t xml:space="preserve">at Consumer Credit Legal Centre NSW </w:t>
      </w:r>
      <w:r w:rsidR="00BD6ECF">
        <w:rPr>
          <w:rFonts w:ascii="Arial" w:hAnsi="Arial" w:cs="Arial"/>
          <w:sz w:val="22"/>
          <w:szCs w:val="22"/>
        </w:rPr>
        <w:t>and</w:t>
      </w:r>
      <w:r w:rsidR="00BD6ECF" w:rsidRPr="00501161">
        <w:rPr>
          <w:rFonts w:ascii="Arial" w:hAnsi="Arial" w:cs="Arial"/>
          <w:sz w:val="22"/>
          <w:szCs w:val="22"/>
        </w:rPr>
        <w:t xml:space="preserve"> </w:t>
      </w:r>
      <w:r w:rsidRPr="00501161">
        <w:rPr>
          <w:rFonts w:ascii="Arial" w:hAnsi="Arial" w:cs="Arial"/>
          <w:sz w:val="22"/>
          <w:szCs w:val="22"/>
        </w:rPr>
        <w:t>National Legal Aid</w:t>
      </w:r>
      <w:r w:rsidR="006646D7" w:rsidRPr="00501161">
        <w:rPr>
          <w:rFonts w:ascii="Arial" w:hAnsi="Arial" w:cs="Arial"/>
          <w:sz w:val="22"/>
          <w:szCs w:val="22"/>
        </w:rPr>
        <w:t xml:space="preserve"> </w:t>
      </w:r>
      <w:r w:rsidR="00501161">
        <w:rPr>
          <w:rFonts w:ascii="Arial" w:hAnsi="Arial" w:cs="Arial"/>
          <w:sz w:val="22"/>
          <w:szCs w:val="22"/>
        </w:rPr>
        <w:t>have all contributed to this submission</w:t>
      </w:r>
      <w:r w:rsidRPr="00501161">
        <w:rPr>
          <w:rFonts w:ascii="Arial" w:hAnsi="Arial" w:cs="Arial"/>
          <w:sz w:val="22"/>
          <w:szCs w:val="22"/>
        </w:rPr>
        <w:t>.</w:t>
      </w:r>
      <w:r w:rsidR="00E41739" w:rsidRPr="00501161">
        <w:rPr>
          <w:rFonts w:ascii="Arial" w:hAnsi="Arial" w:cs="Arial"/>
          <w:sz w:val="22"/>
          <w:szCs w:val="22"/>
        </w:rPr>
        <w:t xml:space="preserve">  We</w:t>
      </w:r>
      <w:r w:rsidR="009750E9" w:rsidRPr="00501161">
        <w:rPr>
          <w:rFonts w:ascii="Arial" w:hAnsi="Arial" w:cs="Arial"/>
          <w:sz w:val="22"/>
          <w:szCs w:val="22"/>
        </w:rPr>
        <w:t xml:space="preserve"> welcome</w:t>
      </w:r>
      <w:r w:rsidR="00312829" w:rsidRPr="00501161">
        <w:rPr>
          <w:rFonts w:ascii="Arial" w:hAnsi="Arial" w:cs="Arial"/>
          <w:sz w:val="22"/>
          <w:szCs w:val="22"/>
        </w:rPr>
        <w:t xml:space="preserve"> the opportunity to comment on </w:t>
      </w:r>
      <w:r w:rsidRPr="00501161">
        <w:rPr>
          <w:rFonts w:ascii="Arial" w:hAnsi="Arial" w:cs="Arial"/>
          <w:sz w:val="22"/>
          <w:szCs w:val="22"/>
        </w:rPr>
        <w:t>the discussion paper</w:t>
      </w:r>
      <w:r w:rsidR="00BC3F56" w:rsidRPr="00501161">
        <w:rPr>
          <w:rFonts w:ascii="Arial" w:hAnsi="Arial" w:cs="Arial"/>
          <w:sz w:val="22"/>
          <w:szCs w:val="22"/>
        </w:rPr>
        <w:t>.</w:t>
      </w:r>
      <w:r w:rsidRPr="00501161">
        <w:rPr>
          <w:rFonts w:ascii="Arial" w:hAnsi="Arial" w:cs="Arial"/>
          <w:sz w:val="22"/>
          <w:szCs w:val="22"/>
        </w:rPr>
        <w:t xml:space="preserve">  Background on each of the contributors can be found in the Appendix.</w:t>
      </w:r>
    </w:p>
    <w:p w:rsidR="00F65D6B" w:rsidRPr="00501161" w:rsidRDefault="00F65D6B" w:rsidP="00443F58">
      <w:pPr>
        <w:spacing w:line="276" w:lineRule="auto"/>
        <w:ind w:right="-96"/>
        <w:jc w:val="both"/>
        <w:rPr>
          <w:rFonts w:ascii="Arial" w:hAnsi="Arial" w:cs="Arial"/>
          <w:sz w:val="22"/>
          <w:szCs w:val="22"/>
        </w:rPr>
      </w:pPr>
    </w:p>
    <w:p w:rsidR="005E08F3" w:rsidRPr="00501161" w:rsidRDefault="00654E2B" w:rsidP="00233575">
      <w:pPr>
        <w:spacing w:line="276" w:lineRule="auto"/>
        <w:ind w:right="-96"/>
        <w:jc w:val="both"/>
        <w:rPr>
          <w:rFonts w:ascii="Arial" w:hAnsi="Arial" w:cs="Arial"/>
          <w:sz w:val="22"/>
          <w:szCs w:val="22"/>
        </w:rPr>
      </w:pPr>
      <w:r w:rsidRPr="00501161">
        <w:rPr>
          <w:rFonts w:ascii="Arial" w:hAnsi="Arial" w:cs="Arial"/>
          <w:sz w:val="22"/>
          <w:szCs w:val="22"/>
        </w:rPr>
        <w:t xml:space="preserve">We </w:t>
      </w:r>
      <w:r w:rsidR="00384B4A" w:rsidRPr="00501161">
        <w:rPr>
          <w:rFonts w:ascii="Arial" w:hAnsi="Arial" w:cs="Arial"/>
          <w:sz w:val="22"/>
          <w:szCs w:val="22"/>
        </w:rPr>
        <w:t xml:space="preserve">generally </w:t>
      </w:r>
      <w:r w:rsidR="008E3296" w:rsidRPr="00501161">
        <w:rPr>
          <w:rFonts w:ascii="Arial" w:hAnsi="Arial" w:cs="Arial"/>
          <w:sz w:val="22"/>
          <w:szCs w:val="22"/>
        </w:rPr>
        <w:t>welcome</w:t>
      </w:r>
      <w:r w:rsidR="00233575" w:rsidRPr="00501161">
        <w:rPr>
          <w:rFonts w:ascii="Arial" w:hAnsi="Arial" w:cs="Arial"/>
          <w:sz w:val="22"/>
          <w:szCs w:val="22"/>
        </w:rPr>
        <w:t xml:space="preserve"> the reforms proposed by the discussion paper, subject to the remarks made on each proposal below.</w:t>
      </w:r>
      <w:r w:rsidR="00501161" w:rsidRPr="00501161">
        <w:rPr>
          <w:rFonts w:ascii="Arial" w:hAnsi="Arial" w:cs="Arial"/>
          <w:sz w:val="22"/>
          <w:szCs w:val="22"/>
        </w:rPr>
        <w:t xml:space="preserve">  </w:t>
      </w:r>
      <w:r w:rsidR="00501161" w:rsidRPr="00DE66BD">
        <w:rPr>
          <w:rFonts w:ascii="Arial" w:hAnsi="Arial" w:cs="Arial"/>
          <w:sz w:val="22"/>
          <w:szCs w:val="22"/>
        </w:rPr>
        <w:t>In addition, we have suggested further reform</w:t>
      </w:r>
      <w:r w:rsidR="00DE66BD">
        <w:rPr>
          <w:rFonts w:ascii="Arial" w:hAnsi="Arial" w:cs="Arial"/>
          <w:sz w:val="22"/>
          <w:szCs w:val="22"/>
        </w:rPr>
        <w:t>s</w:t>
      </w:r>
      <w:r w:rsidR="00501161" w:rsidRPr="00DE66BD">
        <w:rPr>
          <w:rFonts w:ascii="Arial" w:hAnsi="Arial" w:cs="Arial"/>
          <w:sz w:val="22"/>
          <w:szCs w:val="22"/>
        </w:rPr>
        <w:t xml:space="preserve"> which were not canvassed by the discussion paper </w:t>
      </w:r>
      <w:r w:rsidR="00DE66BD">
        <w:rPr>
          <w:rFonts w:ascii="Arial" w:hAnsi="Arial" w:cs="Arial"/>
          <w:sz w:val="22"/>
          <w:szCs w:val="22"/>
        </w:rPr>
        <w:t xml:space="preserve">but </w:t>
      </w:r>
      <w:r w:rsidR="00501161" w:rsidRPr="00DE66BD">
        <w:rPr>
          <w:rFonts w:ascii="Arial" w:hAnsi="Arial" w:cs="Arial"/>
          <w:sz w:val="22"/>
          <w:szCs w:val="22"/>
        </w:rPr>
        <w:t xml:space="preserve">which we think </w:t>
      </w:r>
      <w:r w:rsidR="00DE66BD">
        <w:rPr>
          <w:rFonts w:ascii="Arial" w:hAnsi="Arial" w:cs="Arial"/>
          <w:sz w:val="22"/>
          <w:szCs w:val="22"/>
        </w:rPr>
        <w:t>are</w:t>
      </w:r>
      <w:r w:rsidR="00501161" w:rsidRPr="00DE66BD">
        <w:rPr>
          <w:rFonts w:ascii="Arial" w:hAnsi="Arial" w:cs="Arial"/>
          <w:sz w:val="22"/>
          <w:szCs w:val="22"/>
        </w:rPr>
        <w:t xml:space="preserve"> nonetheless required to achieve a comprehensive response to issues around flood insurance.</w:t>
      </w:r>
      <w:r w:rsidR="00DE66BD">
        <w:rPr>
          <w:rFonts w:ascii="Arial" w:hAnsi="Arial" w:cs="Arial"/>
          <w:sz w:val="22"/>
          <w:szCs w:val="22"/>
        </w:rPr>
        <w:t xml:space="preserve">  We expect that such reforms will also be considered through the Government's Natural Disaster Insurance Review.</w:t>
      </w:r>
    </w:p>
    <w:p w:rsidR="00233575" w:rsidRPr="00501161" w:rsidRDefault="00233575" w:rsidP="00233575">
      <w:pPr>
        <w:spacing w:line="276" w:lineRule="auto"/>
        <w:ind w:right="-96"/>
        <w:jc w:val="both"/>
        <w:rPr>
          <w:rFonts w:ascii="Arial" w:hAnsi="Arial" w:cs="Arial"/>
          <w:sz w:val="22"/>
          <w:szCs w:val="22"/>
        </w:rPr>
      </w:pPr>
    </w:p>
    <w:p w:rsidR="00233575" w:rsidRPr="00501161" w:rsidRDefault="00233575" w:rsidP="00D51B93">
      <w:pPr>
        <w:keepNext/>
        <w:spacing w:line="276" w:lineRule="auto"/>
        <w:ind w:right="-96"/>
        <w:jc w:val="both"/>
        <w:rPr>
          <w:rFonts w:ascii="Arial" w:hAnsi="Arial" w:cs="Arial"/>
          <w:sz w:val="22"/>
          <w:szCs w:val="22"/>
        </w:rPr>
      </w:pPr>
      <w:r w:rsidRPr="00501161">
        <w:rPr>
          <w:rFonts w:ascii="Arial" w:hAnsi="Arial" w:cs="Arial"/>
          <w:sz w:val="22"/>
          <w:szCs w:val="22"/>
        </w:rPr>
        <w:lastRenderedPageBreak/>
        <w:t>In brief, this submission addresses:</w:t>
      </w:r>
    </w:p>
    <w:p w:rsidR="00233575" w:rsidRPr="00501161" w:rsidRDefault="00233575" w:rsidP="00B81630">
      <w:pPr>
        <w:pStyle w:val="ListParagraph"/>
        <w:numPr>
          <w:ilvl w:val="0"/>
          <w:numId w:val="21"/>
        </w:numPr>
        <w:spacing w:line="276" w:lineRule="auto"/>
        <w:ind w:right="-96"/>
        <w:jc w:val="both"/>
        <w:rPr>
          <w:rFonts w:ascii="Arial" w:hAnsi="Arial" w:cs="Arial"/>
        </w:rPr>
      </w:pPr>
      <w:r w:rsidRPr="00501161">
        <w:rPr>
          <w:rFonts w:ascii="Arial" w:hAnsi="Arial" w:cs="Arial"/>
        </w:rPr>
        <w:t>The proposed standard definition of flood</w:t>
      </w:r>
    </w:p>
    <w:p w:rsidR="00233575" w:rsidRPr="00501161" w:rsidRDefault="00233575" w:rsidP="00B81630">
      <w:pPr>
        <w:pStyle w:val="ListParagraph"/>
        <w:numPr>
          <w:ilvl w:val="0"/>
          <w:numId w:val="21"/>
        </w:numPr>
        <w:spacing w:line="276" w:lineRule="auto"/>
        <w:ind w:right="-96"/>
        <w:jc w:val="both"/>
        <w:rPr>
          <w:rFonts w:ascii="Arial" w:hAnsi="Arial" w:cs="Arial"/>
        </w:rPr>
      </w:pPr>
      <w:r w:rsidRPr="00501161">
        <w:rPr>
          <w:rFonts w:ascii="Arial" w:hAnsi="Arial" w:cs="Arial"/>
        </w:rPr>
        <w:t>the proposed key facts statement</w:t>
      </w:r>
    </w:p>
    <w:p w:rsidR="00233575" w:rsidRPr="00501161" w:rsidRDefault="00233575" w:rsidP="00B81630">
      <w:pPr>
        <w:pStyle w:val="ListParagraph"/>
        <w:numPr>
          <w:ilvl w:val="0"/>
          <w:numId w:val="21"/>
        </w:numPr>
        <w:spacing w:line="276" w:lineRule="auto"/>
        <w:ind w:right="-96"/>
        <w:jc w:val="both"/>
        <w:rPr>
          <w:rFonts w:ascii="Arial" w:hAnsi="Arial" w:cs="Arial"/>
        </w:rPr>
      </w:pPr>
      <w:r w:rsidRPr="00501161">
        <w:rPr>
          <w:rFonts w:ascii="Arial" w:hAnsi="Arial" w:cs="Arial"/>
        </w:rPr>
        <w:t>time limits for claims handling</w:t>
      </w:r>
    </w:p>
    <w:p w:rsidR="00233575" w:rsidRPr="00501161" w:rsidRDefault="0045422A" w:rsidP="00B81630">
      <w:pPr>
        <w:pStyle w:val="ListParagraph"/>
        <w:numPr>
          <w:ilvl w:val="0"/>
          <w:numId w:val="21"/>
        </w:numPr>
        <w:spacing w:line="276" w:lineRule="auto"/>
        <w:ind w:right="-96"/>
        <w:jc w:val="both"/>
        <w:rPr>
          <w:rFonts w:ascii="Arial" w:hAnsi="Arial" w:cs="Arial"/>
        </w:rPr>
      </w:pPr>
      <w:r w:rsidRPr="00501161">
        <w:rPr>
          <w:rFonts w:ascii="Arial" w:hAnsi="Arial" w:cs="Arial"/>
        </w:rPr>
        <w:t>C</w:t>
      </w:r>
      <w:r w:rsidR="00233575" w:rsidRPr="00501161">
        <w:rPr>
          <w:rFonts w:ascii="Arial" w:hAnsi="Arial" w:cs="Arial"/>
        </w:rPr>
        <w:t xml:space="preserve">entrepay processing </w:t>
      </w:r>
      <w:r w:rsidR="009B16B1">
        <w:rPr>
          <w:rFonts w:ascii="Arial" w:hAnsi="Arial" w:cs="Arial"/>
        </w:rPr>
        <w:t>for</w:t>
      </w:r>
      <w:r w:rsidR="00233575" w:rsidRPr="00501161">
        <w:rPr>
          <w:rFonts w:ascii="Arial" w:hAnsi="Arial" w:cs="Arial"/>
        </w:rPr>
        <w:t xml:space="preserve"> premium payments</w:t>
      </w:r>
    </w:p>
    <w:p w:rsidR="0045422A" w:rsidRPr="009B16B1" w:rsidRDefault="009B16B1" w:rsidP="00B81630">
      <w:pPr>
        <w:pStyle w:val="ListParagraph"/>
        <w:numPr>
          <w:ilvl w:val="0"/>
          <w:numId w:val="21"/>
        </w:numPr>
        <w:spacing w:line="276" w:lineRule="auto"/>
        <w:ind w:right="-96"/>
        <w:jc w:val="both"/>
        <w:rPr>
          <w:rFonts w:ascii="Arial" w:hAnsi="Arial" w:cs="Arial"/>
        </w:rPr>
      </w:pPr>
      <w:r w:rsidRPr="009B16B1">
        <w:rPr>
          <w:rFonts w:ascii="Arial" w:hAnsi="Arial" w:cs="Arial"/>
        </w:rPr>
        <w:t>F</w:t>
      </w:r>
      <w:r w:rsidR="0045422A" w:rsidRPr="009B16B1">
        <w:rPr>
          <w:rFonts w:ascii="Arial" w:hAnsi="Arial" w:cs="Arial"/>
        </w:rPr>
        <w:t>urther reforms</w:t>
      </w:r>
    </w:p>
    <w:p w:rsidR="00654E2B" w:rsidRPr="00501161" w:rsidRDefault="00654E2B" w:rsidP="00443F58">
      <w:pPr>
        <w:spacing w:line="276" w:lineRule="auto"/>
        <w:ind w:right="-96"/>
        <w:jc w:val="both"/>
        <w:rPr>
          <w:rFonts w:ascii="Arial" w:hAnsi="Arial" w:cs="Arial"/>
          <w:sz w:val="22"/>
          <w:szCs w:val="22"/>
        </w:rPr>
      </w:pPr>
    </w:p>
    <w:p w:rsidR="00501161" w:rsidRPr="000D0325" w:rsidRDefault="00501161" w:rsidP="009B16B1">
      <w:pPr>
        <w:pStyle w:val="Default"/>
        <w:keepNext/>
        <w:jc w:val="both"/>
        <w:rPr>
          <w:b/>
          <w:bCs/>
          <w:color w:val="auto"/>
          <w:sz w:val="28"/>
          <w:szCs w:val="28"/>
        </w:rPr>
      </w:pPr>
      <w:r w:rsidRPr="000D0325">
        <w:rPr>
          <w:b/>
          <w:bCs/>
          <w:color w:val="auto"/>
          <w:sz w:val="28"/>
          <w:szCs w:val="28"/>
        </w:rPr>
        <w:t>Standard definition of flood</w:t>
      </w:r>
    </w:p>
    <w:p w:rsidR="00501161" w:rsidRPr="00501161" w:rsidRDefault="00501161" w:rsidP="009B16B1">
      <w:pPr>
        <w:pStyle w:val="Default"/>
        <w:keepNext/>
        <w:jc w:val="both"/>
        <w:rPr>
          <w:b/>
          <w:bCs/>
          <w:color w:val="auto"/>
          <w:sz w:val="22"/>
          <w:szCs w:val="22"/>
        </w:rPr>
      </w:pPr>
    </w:p>
    <w:p w:rsidR="00501161" w:rsidRPr="00501161" w:rsidRDefault="00501161" w:rsidP="009B16B1">
      <w:pPr>
        <w:pStyle w:val="Default"/>
        <w:keepNext/>
        <w:jc w:val="both"/>
        <w:rPr>
          <w:b/>
          <w:bCs/>
          <w:color w:val="auto"/>
          <w:sz w:val="22"/>
          <w:szCs w:val="22"/>
        </w:rPr>
      </w:pPr>
      <w:r w:rsidRPr="00501161">
        <w:rPr>
          <w:i/>
          <w:sz w:val="22"/>
          <w:szCs w:val="22"/>
        </w:rPr>
        <w:t>Introductory Remarks</w:t>
      </w:r>
    </w:p>
    <w:p w:rsidR="00285D17" w:rsidRDefault="00285D17" w:rsidP="009B16B1">
      <w:pPr>
        <w:pStyle w:val="ListParagraph"/>
        <w:keepNext/>
        <w:ind w:left="0"/>
        <w:jc w:val="both"/>
        <w:rPr>
          <w:rFonts w:ascii="Arial" w:hAnsi="Arial" w:cs="Arial"/>
        </w:rPr>
      </w:pPr>
    </w:p>
    <w:p w:rsidR="00501161" w:rsidRPr="00501161" w:rsidRDefault="00501161" w:rsidP="00501161">
      <w:pPr>
        <w:pStyle w:val="ListParagraph"/>
        <w:ind w:left="0"/>
        <w:jc w:val="both"/>
        <w:rPr>
          <w:rFonts w:ascii="Arial" w:hAnsi="Arial" w:cs="Arial"/>
        </w:rPr>
      </w:pPr>
      <w:r w:rsidRPr="00501161">
        <w:rPr>
          <w:rFonts w:ascii="Arial" w:hAnsi="Arial" w:cs="Arial"/>
        </w:rPr>
        <w:t xml:space="preserve">We support the proposed definition of flood as outlined </w:t>
      </w:r>
      <w:r w:rsidR="008916C6">
        <w:rPr>
          <w:rFonts w:ascii="Arial" w:hAnsi="Arial" w:cs="Arial"/>
        </w:rPr>
        <w:t>on page five of</w:t>
      </w:r>
      <w:r w:rsidRPr="00501161">
        <w:rPr>
          <w:rFonts w:ascii="Arial" w:hAnsi="Arial" w:cs="Arial"/>
        </w:rPr>
        <w:t xml:space="preserve"> the discussion paper</w:t>
      </w:r>
      <w:r w:rsidR="008916C6">
        <w:rPr>
          <w:rFonts w:ascii="Arial" w:hAnsi="Arial" w:cs="Arial"/>
        </w:rPr>
        <w:t>.</w:t>
      </w:r>
      <w:r w:rsidRPr="00501161">
        <w:rPr>
          <w:rFonts w:ascii="Arial" w:hAnsi="Arial" w:cs="Arial"/>
        </w:rPr>
        <w:t xml:space="preserve"> </w:t>
      </w:r>
    </w:p>
    <w:p w:rsidR="00501161" w:rsidRPr="00501161" w:rsidRDefault="00501161" w:rsidP="00501161">
      <w:pPr>
        <w:pStyle w:val="ListParagraph"/>
        <w:ind w:left="0"/>
        <w:jc w:val="both"/>
        <w:rPr>
          <w:rFonts w:ascii="Arial" w:hAnsi="Arial" w:cs="Arial"/>
        </w:rPr>
      </w:pPr>
    </w:p>
    <w:p w:rsidR="00501161" w:rsidRPr="00501161" w:rsidRDefault="00501161" w:rsidP="00501161">
      <w:pPr>
        <w:pStyle w:val="ListParagraph"/>
        <w:ind w:left="0"/>
        <w:jc w:val="both"/>
        <w:rPr>
          <w:rFonts w:ascii="Arial" w:hAnsi="Arial" w:cs="Arial"/>
        </w:rPr>
      </w:pPr>
      <w:r w:rsidRPr="00501161">
        <w:rPr>
          <w:rFonts w:ascii="Arial" w:hAnsi="Arial" w:cs="Arial"/>
        </w:rPr>
        <w:t>The proposed definition is reasonably clear and, subject to our comments below, should go some of the way to meeting the objective outlined by Treasury</w:t>
      </w:r>
      <w:r w:rsidR="008916C6">
        <w:rPr>
          <w:rFonts w:ascii="Arial" w:hAnsi="Arial" w:cs="Arial"/>
        </w:rPr>
        <w:t xml:space="preserve"> at paragraph 23 of the discussion paper</w:t>
      </w:r>
      <w:r w:rsidRPr="00501161">
        <w:rPr>
          <w:rFonts w:ascii="Arial" w:hAnsi="Arial" w:cs="Arial"/>
        </w:rPr>
        <w:t>, of providing consumers with a better understanding of whether an insurance policy includes cover for flood</w:t>
      </w:r>
      <w:r w:rsidR="008916C6">
        <w:rPr>
          <w:rFonts w:ascii="Arial" w:hAnsi="Arial" w:cs="Arial"/>
        </w:rPr>
        <w:t>.</w:t>
      </w:r>
    </w:p>
    <w:p w:rsidR="00501161" w:rsidRPr="00501161" w:rsidRDefault="00501161" w:rsidP="00501161">
      <w:pPr>
        <w:pStyle w:val="ListParagraph"/>
        <w:ind w:left="0"/>
        <w:jc w:val="both"/>
        <w:rPr>
          <w:rFonts w:ascii="Arial" w:hAnsi="Arial" w:cs="Arial"/>
        </w:rPr>
      </w:pPr>
    </w:p>
    <w:p w:rsidR="00501161" w:rsidRPr="00501161" w:rsidRDefault="00501161" w:rsidP="00501161">
      <w:pPr>
        <w:pStyle w:val="ListParagraph"/>
        <w:ind w:left="0"/>
        <w:jc w:val="both"/>
        <w:rPr>
          <w:rFonts w:ascii="Arial" w:hAnsi="Arial" w:cs="Arial"/>
        </w:rPr>
      </w:pPr>
      <w:r w:rsidRPr="00B81630">
        <w:rPr>
          <w:rFonts w:ascii="Arial" w:hAnsi="Arial" w:cs="Arial"/>
        </w:rPr>
        <w:t xml:space="preserve">Whilst we support the proposed definition of flood, it is important to note that developing a standard definition of flood is only one in a series of tasks that will be necessary in order to reduce consumer confusion about flood cover.  This </w:t>
      </w:r>
      <w:r w:rsidR="008916C6" w:rsidRPr="00B81630">
        <w:rPr>
          <w:rFonts w:ascii="Arial" w:hAnsi="Arial" w:cs="Arial"/>
        </w:rPr>
        <w:t>is d</w:t>
      </w:r>
      <w:r w:rsidRPr="00B81630">
        <w:rPr>
          <w:rFonts w:ascii="Arial" w:hAnsi="Arial" w:cs="Arial"/>
        </w:rPr>
        <w:t xml:space="preserve">iscussed further </w:t>
      </w:r>
      <w:r w:rsidR="008916C6" w:rsidRPr="00B81630">
        <w:rPr>
          <w:rFonts w:ascii="Arial" w:hAnsi="Arial" w:cs="Arial"/>
        </w:rPr>
        <w:t>at the end of the paper</w:t>
      </w:r>
      <w:r w:rsidRPr="00B81630">
        <w:rPr>
          <w:rFonts w:ascii="Arial" w:hAnsi="Arial" w:cs="Arial"/>
        </w:rPr>
        <w:t>.</w:t>
      </w:r>
    </w:p>
    <w:p w:rsidR="00501161" w:rsidRPr="00501161" w:rsidRDefault="00501161" w:rsidP="005011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Arial" w:hAnsi="Arial" w:cs="Arial"/>
          <w:i/>
          <w:sz w:val="22"/>
          <w:szCs w:val="22"/>
        </w:rPr>
      </w:pPr>
      <w:r w:rsidRPr="00501161">
        <w:rPr>
          <w:rFonts w:ascii="Arial" w:hAnsi="Arial" w:cs="Arial"/>
          <w:i/>
          <w:sz w:val="22"/>
          <w:szCs w:val="22"/>
        </w:rPr>
        <w:t>Answers to consultation questions</w:t>
      </w:r>
    </w:p>
    <w:p w:rsidR="00501161" w:rsidRPr="00501161" w:rsidRDefault="00501161" w:rsidP="005011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Arial" w:hAnsi="Arial" w:cs="Arial"/>
          <w:b/>
          <w:sz w:val="22"/>
          <w:szCs w:val="22"/>
        </w:rPr>
      </w:pPr>
      <w:r w:rsidRPr="00501161">
        <w:rPr>
          <w:rFonts w:ascii="Arial" w:hAnsi="Arial" w:cs="Arial"/>
          <w:i/>
          <w:sz w:val="22"/>
          <w:szCs w:val="22"/>
        </w:rPr>
        <w:t>Are the concerns noted [in the discussion paper] regarding consumer confusion about flood cover still valid?</w:t>
      </w:r>
    </w:p>
    <w:p w:rsidR="00501161" w:rsidRPr="00501161" w:rsidRDefault="00501161" w:rsidP="00501161">
      <w:pPr>
        <w:pStyle w:val="ListParagraph"/>
        <w:ind w:left="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Yes.</w:t>
      </w:r>
      <w:r w:rsidR="000D0325">
        <w:rPr>
          <w:rFonts w:ascii="Arial" w:hAnsi="Arial" w:cs="Arial"/>
        </w:rPr>
        <w:t xml:space="preserve"> </w:t>
      </w:r>
      <w:r w:rsidRPr="00501161">
        <w:rPr>
          <w:rFonts w:ascii="Arial" w:hAnsi="Arial" w:cs="Arial"/>
        </w:rPr>
        <w:t>As early as 2000, ASIC identified In ASIC Report No 7 into Consumer Understanding of Flood Insurance</w:t>
      </w:r>
      <w:r w:rsidRPr="00501161">
        <w:rPr>
          <w:rStyle w:val="FootnoteReference"/>
          <w:rFonts w:ascii="Arial" w:hAnsi="Arial" w:cs="Arial"/>
        </w:rPr>
        <w:footnoteReference w:id="1"/>
      </w:r>
      <w:r w:rsidRPr="00501161">
        <w:rPr>
          <w:rFonts w:ascii="Arial" w:hAnsi="Arial" w:cs="Arial"/>
        </w:rPr>
        <w:t>, a series of concerns with the state of consumer awareness in the Australian insurance market on their level of cover for flood.</w:t>
      </w:r>
    </w:p>
    <w:p w:rsidR="00501161" w:rsidRPr="00501161" w:rsidRDefault="00501161" w:rsidP="00501161">
      <w:pPr>
        <w:pStyle w:val="ListParagraph"/>
        <w:ind w:left="36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As ASIC correctly noted, the consumer consequences of consumer confusion about flood are typically more serious than they might be for most other issues arising under house and contents insurance policies because of the potentially devastating effect of floods.</w:t>
      </w:r>
      <w:r w:rsidRPr="00501161">
        <w:rPr>
          <w:rStyle w:val="FootnoteReference"/>
          <w:rFonts w:ascii="Arial" w:hAnsi="Arial" w:cs="Arial"/>
        </w:rPr>
        <w:t xml:space="preserve"> </w:t>
      </w:r>
      <w:r w:rsidRPr="00501161">
        <w:rPr>
          <w:rStyle w:val="FootnoteReference"/>
          <w:rFonts w:ascii="Arial" w:hAnsi="Arial" w:cs="Arial"/>
        </w:rPr>
        <w:footnoteReference w:id="2"/>
      </w:r>
    </w:p>
    <w:p w:rsidR="00501161" w:rsidRPr="00501161" w:rsidRDefault="00501161" w:rsidP="00501161">
      <w:pPr>
        <w:pStyle w:val="ListParagraph"/>
        <w:ind w:left="36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Amongst other things, ASIC recommended a common definition for flood. However, it warned that a holistic approach to flood issues needs to be adopted to address consumer confusion in this area.  ASIC found that</w:t>
      </w:r>
      <w:r w:rsidRPr="00501161">
        <w:rPr>
          <w:rStyle w:val="FootnoteReference"/>
          <w:rFonts w:ascii="Arial" w:hAnsi="Arial" w:cs="Arial"/>
        </w:rPr>
        <w:footnoteReference w:id="3"/>
      </w:r>
      <w:r w:rsidRPr="00501161">
        <w:rPr>
          <w:rFonts w:ascii="Arial" w:hAnsi="Arial" w:cs="Arial"/>
        </w:rPr>
        <w:t>:</w:t>
      </w:r>
    </w:p>
    <w:p w:rsidR="00501161" w:rsidRPr="00501161" w:rsidRDefault="00501161" w:rsidP="00501161">
      <w:pPr>
        <w:pStyle w:val="ListParagraph"/>
        <w:ind w:left="360"/>
        <w:jc w:val="both"/>
        <w:rPr>
          <w:rFonts w:ascii="Arial" w:hAnsi="Arial" w:cs="Arial"/>
        </w:rPr>
      </w:pPr>
    </w:p>
    <w:p w:rsidR="00501161" w:rsidRPr="00B81630" w:rsidRDefault="00501161" w:rsidP="00222F61">
      <w:pPr>
        <w:pStyle w:val="ListParagraph"/>
        <w:numPr>
          <w:ilvl w:val="0"/>
          <w:numId w:val="21"/>
        </w:numPr>
        <w:spacing w:line="276" w:lineRule="auto"/>
        <w:ind w:right="-96"/>
        <w:jc w:val="both"/>
        <w:rPr>
          <w:rFonts w:ascii="Arial" w:hAnsi="Arial" w:cs="Arial"/>
        </w:rPr>
      </w:pPr>
      <w:r w:rsidRPr="00B81630">
        <w:rPr>
          <w:rFonts w:ascii="Arial" w:hAnsi="Arial" w:cs="Arial"/>
        </w:rPr>
        <w:t>Insurance sales representatives may not be adequately trained to provide information</w:t>
      </w:r>
      <w:r w:rsidR="00B81630">
        <w:rPr>
          <w:rFonts w:ascii="Arial" w:hAnsi="Arial" w:cs="Arial"/>
        </w:rPr>
        <w:t xml:space="preserve"> </w:t>
      </w:r>
      <w:r w:rsidRPr="00B81630">
        <w:rPr>
          <w:rFonts w:ascii="Arial" w:hAnsi="Arial" w:cs="Arial"/>
        </w:rPr>
        <w:t xml:space="preserve">or answer consumer queries about the availability and nature of  flood cover;  </w:t>
      </w:r>
    </w:p>
    <w:p w:rsidR="00501161" w:rsidRPr="00B81630" w:rsidRDefault="00501161" w:rsidP="00222F61">
      <w:pPr>
        <w:pStyle w:val="ListParagraph"/>
        <w:numPr>
          <w:ilvl w:val="0"/>
          <w:numId w:val="21"/>
        </w:numPr>
        <w:spacing w:line="276" w:lineRule="auto"/>
        <w:ind w:right="-96"/>
        <w:jc w:val="both"/>
        <w:rPr>
          <w:rFonts w:ascii="Arial" w:hAnsi="Arial" w:cs="Arial"/>
        </w:rPr>
      </w:pPr>
      <w:r w:rsidRPr="00B81630">
        <w:rPr>
          <w:rFonts w:ascii="Arial" w:hAnsi="Arial" w:cs="Arial"/>
        </w:rPr>
        <w:t>Because home and contents insurance documents are often difficult to understand</w:t>
      </w:r>
      <w:r w:rsidR="00B81630" w:rsidRPr="00B81630">
        <w:rPr>
          <w:rFonts w:ascii="Arial" w:hAnsi="Arial" w:cs="Arial"/>
        </w:rPr>
        <w:t xml:space="preserve"> </w:t>
      </w:r>
      <w:r w:rsidRPr="00B81630">
        <w:rPr>
          <w:rFonts w:ascii="Arial" w:hAnsi="Arial" w:cs="Arial"/>
        </w:rPr>
        <w:t xml:space="preserve">on the issue of flood insurance, consumers may not be aware whether they are covered for flood and, if they are, about the importance of the distinction between flood and other storm damage; and </w:t>
      </w:r>
    </w:p>
    <w:p w:rsidR="00B81630" w:rsidRPr="00B81630" w:rsidRDefault="00501161" w:rsidP="00222F61">
      <w:pPr>
        <w:pStyle w:val="ListParagraph"/>
        <w:numPr>
          <w:ilvl w:val="0"/>
          <w:numId w:val="21"/>
        </w:numPr>
        <w:spacing w:line="276" w:lineRule="auto"/>
        <w:ind w:right="-96"/>
        <w:jc w:val="both"/>
        <w:rPr>
          <w:rFonts w:ascii="Arial" w:hAnsi="Arial" w:cs="Arial"/>
        </w:rPr>
      </w:pPr>
      <w:r w:rsidRPr="00B81630">
        <w:rPr>
          <w:rFonts w:ascii="Arial" w:hAnsi="Arial" w:cs="Arial"/>
        </w:rPr>
        <w:t xml:space="preserve">The process for assessing flood insurance claims is usually complex and may be confusing for consumers.  For example, insurance companies may use a hydrologist to determine the primary cause of water inundation.   </w:t>
      </w:r>
    </w:p>
    <w:p w:rsidR="00DA00E1" w:rsidRDefault="00DA00E1" w:rsidP="00B81630">
      <w:pPr>
        <w:pStyle w:val="ListParagraph"/>
        <w:ind w:left="360"/>
        <w:jc w:val="both"/>
        <w:rPr>
          <w:rFonts w:ascii="Arial" w:hAnsi="Arial" w:cs="Arial"/>
        </w:rPr>
      </w:pPr>
    </w:p>
    <w:p w:rsidR="00501161" w:rsidRPr="00B81630" w:rsidRDefault="00501161" w:rsidP="00511BA0">
      <w:pPr>
        <w:pStyle w:val="ListParagraph"/>
        <w:ind w:left="0"/>
        <w:jc w:val="both"/>
        <w:rPr>
          <w:rFonts w:ascii="Arial" w:hAnsi="Arial" w:cs="Arial"/>
        </w:rPr>
      </w:pPr>
      <w:r w:rsidRPr="00B81630">
        <w:rPr>
          <w:rFonts w:ascii="Arial" w:hAnsi="Arial" w:cs="Arial"/>
        </w:rPr>
        <w:lastRenderedPageBreak/>
        <w:t xml:space="preserve">As is outlined below, ASIC's concerns from 2000 have been mirrored in our casework experience from the recent Qld floods. </w:t>
      </w:r>
    </w:p>
    <w:p w:rsidR="00501161" w:rsidRPr="00501161" w:rsidRDefault="00501161" w:rsidP="0050116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Arial" w:hAnsi="Arial" w:cs="Arial"/>
          <w:sz w:val="22"/>
          <w:szCs w:val="22"/>
        </w:rPr>
      </w:pPr>
    </w:p>
    <w:p w:rsidR="00501161" w:rsidRPr="00501161" w:rsidRDefault="00501161" w:rsidP="00511BA0">
      <w:pPr>
        <w:pStyle w:val="ListParagraph"/>
        <w:ind w:left="0"/>
        <w:jc w:val="both"/>
        <w:rPr>
          <w:rFonts w:ascii="Arial" w:hAnsi="Arial" w:cs="Arial"/>
        </w:rPr>
      </w:pPr>
      <w:r w:rsidRPr="00501161">
        <w:rPr>
          <w:rFonts w:ascii="Arial" w:hAnsi="Arial" w:cs="Arial"/>
        </w:rPr>
        <w:t>ASIC made recommendations</w:t>
      </w:r>
      <w:r w:rsidRPr="00501161">
        <w:rPr>
          <w:rStyle w:val="FootnoteReference"/>
          <w:rFonts w:ascii="Arial" w:hAnsi="Arial" w:cs="Arial"/>
        </w:rPr>
        <w:footnoteReference w:id="4"/>
      </w:r>
      <w:r w:rsidRPr="00501161">
        <w:rPr>
          <w:rFonts w:ascii="Arial" w:hAnsi="Arial" w:cs="Arial"/>
        </w:rPr>
        <w:t xml:space="preserve"> in 2000 that improvements could be made in three key areas: education, sales processes and disclosure.</w:t>
      </w:r>
    </w:p>
    <w:p w:rsidR="00501161" w:rsidRPr="00501161" w:rsidRDefault="00501161" w:rsidP="00501161">
      <w:pPr>
        <w:pStyle w:val="ListParagraph"/>
        <w:ind w:left="360"/>
        <w:jc w:val="both"/>
        <w:rPr>
          <w:rFonts w:ascii="Arial" w:hAnsi="Arial" w:cs="Arial"/>
        </w:rPr>
      </w:pPr>
    </w:p>
    <w:p w:rsidR="00501161" w:rsidRDefault="00501161" w:rsidP="00511BA0">
      <w:pPr>
        <w:pStyle w:val="ListParagraph"/>
        <w:ind w:left="0"/>
        <w:jc w:val="both"/>
        <w:rPr>
          <w:rFonts w:ascii="Arial" w:hAnsi="Arial" w:cs="Arial"/>
        </w:rPr>
      </w:pPr>
      <w:r w:rsidRPr="00501161">
        <w:rPr>
          <w:rFonts w:ascii="Arial" w:hAnsi="Arial" w:cs="Arial"/>
        </w:rPr>
        <w:t xml:space="preserve">With regards to </w:t>
      </w:r>
      <w:r w:rsidRPr="00501161">
        <w:rPr>
          <w:rFonts w:ascii="Arial" w:hAnsi="Arial" w:cs="Arial"/>
          <w:b/>
        </w:rPr>
        <w:t>education</w:t>
      </w:r>
      <w:r w:rsidRPr="00501161">
        <w:rPr>
          <w:rFonts w:ascii="Arial" w:hAnsi="Arial" w:cs="Arial"/>
        </w:rPr>
        <w:t>, ASIC found that consumers need to be aware that they should consider the risk of flood when purchasing a house and contents insurance policy, or when reviewing the level of cover provided under an existing policy. Therefore, ASIC recommended that consumers ask the following questions when purchasing or reviewing a house and contents insurance policy:</w:t>
      </w:r>
    </w:p>
    <w:p w:rsidR="00CB6D9A" w:rsidRPr="00501161" w:rsidRDefault="00CB6D9A" w:rsidP="00511BA0">
      <w:pPr>
        <w:pStyle w:val="ListParagraph"/>
        <w:ind w:left="0"/>
        <w:jc w:val="both"/>
        <w:rPr>
          <w:rFonts w:ascii="Arial" w:hAnsi="Arial" w:cs="Arial"/>
        </w:rPr>
      </w:pPr>
    </w:p>
    <w:p w:rsidR="00501161" w:rsidRPr="00501161" w:rsidRDefault="00501161" w:rsidP="0082533E">
      <w:pPr>
        <w:pStyle w:val="ListParagraph"/>
        <w:numPr>
          <w:ilvl w:val="0"/>
          <w:numId w:val="21"/>
        </w:numPr>
        <w:spacing w:line="276" w:lineRule="auto"/>
        <w:ind w:right="-96"/>
        <w:jc w:val="both"/>
        <w:rPr>
          <w:rFonts w:ascii="Arial" w:hAnsi="Arial" w:cs="Arial"/>
        </w:rPr>
      </w:pPr>
      <w:r w:rsidRPr="00501161">
        <w:rPr>
          <w:rFonts w:ascii="Arial" w:hAnsi="Arial" w:cs="Arial"/>
        </w:rPr>
        <w:t>Do I need to obtain cover for flood damage?</w:t>
      </w:r>
    </w:p>
    <w:p w:rsidR="00501161" w:rsidRPr="00501161" w:rsidRDefault="00501161" w:rsidP="0082533E">
      <w:pPr>
        <w:pStyle w:val="ListParagraph"/>
        <w:numPr>
          <w:ilvl w:val="0"/>
          <w:numId w:val="21"/>
        </w:numPr>
        <w:spacing w:line="276" w:lineRule="auto"/>
        <w:ind w:right="-96"/>
        <w:jc w:val="both"/>
        <w:rPr>
          <w:rFonts w:ascii="Arial" w:hAnsi="Arial" w:cs="Arial"/>
        </w:rPr>
      </w:pPr>
      <w:r w:rsidRPr="00501161">
        <w:rPr>
          <w:rFonts w:ascii="Arial" w:hAnsi="Arial" w:cs="Arial"/>
        </w:rPr>
        <w:t>What policy is available that will provide me with this cover? and</w:t>
      </w:r>
    </w:p>
    <w:p w:rsidR="00501161" w:rsidRPr="00501161" w:rsidRDefault="00501161" w:rsidP="0082533E">
      <w:pPr>
        <w:pStyle w:val="ListParagraph"/>
        <w:numPr>
          <w:ilvl w:val="0"/>
          <w:numId w:val="21"/>
        </w:numPr>
        <w:spacing w:line="276" w:lineRule="auto"/>
        <w:ind w:right="-96"/>
        <w:jc w:val="both"/>
        <w:rPr>
          <w:rFonts w:ascii="Arial" w:hAnsi="Arial" w:cs="Arial"/>
        </w:rPr>
      </w:pPr>
      <w:r w:rsidRPr="00501161">
        <w:rPr>
          <w:rFonts w:ascii="Arial" w:hAnsi="Arial" w:cs="Arial"/>
        </w:rPr>
        <w:t>Does my current policy cover flood?</w:t>
      </w:r>
    </w:p>
    <w:p w:rsidR="0082533E" w:rsidRDefault="0082533E" w:rsidP="00501161">
      <w:pPr>
        <w:autoSpaceDE w:val="0"/>
        <w:autoSpaceDN w:val="0"/>
        <w:adjustRightInd w:val="0"/>
        <w:ind w:left="360"/>
        <w:jc w:val="both"/>
        <w:rPr>
          <w:rFonts w:ascii="Arial" w:hAnsi="Arial" w:cs="Arial"/>
          <w:sz w:val="22"/>
          <w:szCs w:val="22"/>
        </w:rPr>
      </w:pPr>
    </w:p>
    <w:p w:rsidR="00501161" w:rsidRPr="00501161" w:rsidRDefault="00501161" w:rsidP="00511BA0">
      <w:pPr>
        <w:pStyle w:val="ListParagraph"/>
        <w:ind w:left="0"/>
        <w:jc w:val="both"/>
        <w:rPr>
          <w:rFonts w:ascii="Arial" w:hAnsi="Arial" w:cs="Arial"/>
        </w:rPr>
      </w:pPr>
      <w:r w:rsidRPr="00501161">
        <w:rPr>
          <w:rFonts w:ascii="Arial" w:hAnsi="Arial" w:cs="Arial"/>
        </w:rPr>
        <w:t xml:space="preserve">Regarding </w:t>
      </w:r>
      <w:r w:rsidRPr="00501161">
        <w:rPr>
          <w:rFonts w:ascii="Arial" w:hAnsi="Arial" w:cs="Arial"/>
          <w:b/>
        </w:rPr>
        <w:t>sales processes</w:t>
      </w:r>
      <w:r w:rsidRPr="00501161">
        <w:rPr>
          <w:rFonts w:ascii="Arial" w:hAnsi="Arial" w:cs="Arial"/>
        </w:rPr>
        <w:t>, ASIC recommended that insurers prompt consumers to consider the risk of flood prior to taking out a home and contents insurance policy, particularly where the consumers are located in an area known to be flood prone.</w:t>
      </w:r>
    </w:p>
    <w:p w:rsidR="00501161" w:rsidRPr="00501161" w:rsidRDefault="00501161" w:rsidP="00501161">
      <w:pPr>
        <w:autoSpaceDE w:val="0"/>
        <w:autoSpaceDN w:val="0"/>
        <w:adjustRightInd w:val="0"/>
        <w:ind w:left="360"/>
        <w:jc w:val="both"/>
        <w:rPr>
          <w:rFonts w:ascii="Arial" w:hAnsi="Arial" w:cs="Arial"/>
          <w:sz w:val="22"/>
          <w:szCs w:val="22"/>
        </w:rPr>
      </w:pPr>
    </w:p>
    <w:p w:rsidR="00501161" w:rsidRPr="00501161" w:rsidRDefault="00501161" w:rsidP="00511BA0">
      <w:pPr>
        <w:pStyle w:val="ListParagraph"/>
        <w:ind w:left="0"/>
        <w:jc w:val="both"/>
        <w:rPr>
          <w:rFonts w:ascii="Arial" w:hAnsi="Arial" w:cs="Arial"/>
        </w:rPr>
      </w:pPr>
      <w:r w:rsidRPr="00501161">
        <w:rPr>
          <w:rFonts w:ascii="Arial" w:hAnsi="Arial" w:cs="Arial"/>
        </w:rPr>
        <w:t>Insurance sales representatives, including telephone-sales staff, should also be adequately trained so that they are able to effectively explain the availability of flood insurance to consumers. ASIC recommended that this should include the ability to explain the difference between damage caused by storm water (which is generally covered) and damage caused by flood (which is generally not covered).</w:t>
      </w:r>
    </w:p>
    <w:p w:rsidR="00501161" w:rsidRPr="00501161" w:rsidRDefault="00501161" w:rsidP="00501161">
      <w:pPr>
        <w:pStyle w:val="ListParagraph"/>
        <w:ind w:left="108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 xml:space="preserve">Finally, with regard to </w:t>
      </w:r>
      <w:r w:rsidRPr="00BD57DC">
        <w:rPr>
          <w:rFonts w:ascii="Arial" w:hAnsi="Arial" w:cs="Arial"/>
          <w:b/>
        </w:rPr>
        <w:t>disclosure</w:t>
      </w:r>
      <w:r w:rsidRPr="00501161">
        <w:rPr>
          <w:rFonts w:ascii="Arial" w:hAnsi="Arial" w:cs="Arial"/>
        </w:rPr>
        <w:t>, ASIC specifically recommended that:</w:t>
      </w:r>
    </w:p>
    <w:p w:rsidR="00501161" w:rsidRPr="00501161" w:rsidRDefault="00501161" w:rsidP="00501161">
      <w:pPr>
        <w:ind w:left="720"/>
        <w:jc w:val="both"/>
        <w:rPr>
          <w:rFonts w:ascii="Arial" w:hAnsi="Arial" w:cs="Arial"/>
          <w:sz w:val="22"/>
          <w:szCs w:val="22"/>
        </w:rPr>
      </w:pPr>
    </w:p>
    <w:p w:rsidR="00501161" w:rsidRPr="00501161" w:rsidRDefault="00501161" w:rsidP="00511BA0">
      <w:pPr>
        <w:numPr>
          <w:ilvl w:val="0"/>
          <w:numId w:val="24"/>
        </w:numPr>
        <w:tabs>
          <w:tab w:val="left" w:pos="560"/>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r w:rsidRPr="00501161">
        <w:rPr>
          <w:rFonts w:ascii="Arial" w:hAnsi="Arial" w:cs="Arial"/>
          <w:sz w:val="22"/>
          <w:szCs w:val="22"/>
        </w:rPr>
        <w:t xml:space="preserve">The standard use of key common terms should be explored; </w:t>
      </w:r>
    </w:p>
    <w:p w:rsidR="00501161" w:rsidRPr="00501161" w:rsidRDefault="00501161" w:rsidP="00511BA0">
      <w:pPr>
        <w:tabs>
          <w:tab w:val="left" w:pos="560"/>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p>
    <w:p w:rsidR="00501161" w:rsidRPr="0082533E" w:rsidRDefault="00501161" w:rsidP="00511BA0">
      <w:pPr>
        <w:numPr>
          <w:ilvl w:val="0"/>
          <w:numId w:val="24"/>
        </w:numPr>
        <w:tabs>
          <w:tab w:val="left" w:pos="560"/>
          <w:tab w:val="left" w:pos="851"/>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r w:rsidRPr="00501161">
        <w:rPr>
          <w:rFonts w:ascii="Arial" w:hAnsi="Arial" w:cs="Arial"/>
          <w:sz w:val="22"/>
          <w:szCs w:val="22"/>
        </w:rPr>
        <w:t xml:space="preserve">The distinction between flood, storm and rainwater needs to be clear and </w:t>
      </w:r>
      <w:r w:rsidRPr="0082533E">
        <w:rPr>
          <w:rFonts w:ascii="Arial" w:hAnsi="Arial" w:cs="Arial"/>
          <w:sz w:val="22"/>
          <w:szCs w:val="22"/>
        </w:rPr>
        <w:t xml:space="preserve">consistent;  </w:t>
      </w:r>
    </w:p>
    <w:p w:rsidR="00501161" w:rsidRPr="00501161" w:rsidRDefault="00501161" w:rsidP="00511BA0">
      <w:pPr>
        <w:pStyle w:val="ListParagraph"/>
        <w:tabs>
          <w:tab w:val="left" w:pos="851"/>
        </w:tabs>
        <w:ind w:left="993" w:hanging="567"/>
        <w:jc w:val="both"/>
        <w:rPr>
          <w:rFonts w:ascii="Arial" w:hAnsi="Arial" w:cs="Arial"/>
        </w:rPr>
      </w:pPr>
    </w:p>
    <w:p w:rsidR="00501161" w:rsidRPr="00501161" w:rsidRDefault="00501161" w:rsidP="00511BA0">
      <w:pPr>
        <w:numPr>
          <w:ilvl w:val="0"/>
          <w:numId w:val="24"/>
        </w:numPr>
        <w:tabs>
          <w:tab w:val="left" w:pos="560"/>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r w:rsidRPr="00501161">
        <w:rPr>
          <w:rFonts w:ascii="Arial" w:hAnsi="Arial" w:cs="Arial"/>
          <w:sz w:val="22"/>
          <w:szCs w:val="22"/>
        </w:rPr>
        <w:t xml:space="preserve">The concept of proximate damage needs to be made clear;  </w:t>
      </w:r>
    </w:p>
    <w:p w:rsidR="00501161" w:rsidRPr="00501161" w:rsidRDefault="00501161" w:rsidP="00511BA0">
      <w:pPr>
        <w:pStyle w:val="ListParagraph"/>
        <w:tabs>
          <w:tab w:val="left" w:pos="851"/>
        </w:tabs>
        <w:ind w:left="993" w:hanging="567"/>
        <w:jc w:val="both"/>
        <w:rPr>
          <w:rFonts w:ascii="Arial" w:hAnsi="Arial" w:cs="Arial"/>
        </w:rPr>
      </w:pPr>
    </w:p>
    <w:p w:rsidR="00501161" w:rsidRPr="0082533E" w:rsidRDefault="00501161" w:rsidP="00511BA0">
      <w:pPr>
        <w:numPr>
          <w:ilvl w:val="0"/>
          <w:numId w:val="24"/>
        </w:numPr>
        <w:tabs>
          <w:tab w:val="left" w:pos="560"/>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r w:rsidRPr="00501161">
        <w:rPr>
          <w:rFonts w:ascii="Arial" w:hAnsi="Arial" w:cs="Arial"/>
          <w:sz w:val="22"/>
          <w:szCs w:val="22"/>
        </w:rPr>
        <w:t xml:space="preserve">The distinction between “all in cover” and “defined event” policies should </w:t>
      </w:r>
      <w:r w:rsidRPr="0082533E">
        <w:rPr>
          <w:rFonts w:ascii="Arial" w:hAnsi="Arial" w:cs="Arial"/>
          <w:sz w:val="22"/>
          <w:szCs w:val="22"/>
        </w:rPr>
        <w:t xml:space="preserve">be clear; and </w:t>
      </w:r>
    </w:p>
    <w:p w:rsidR="00501161" w:rsidRPr="00501161" w:rsidRDefault="00501161" w:rsidP="00511BA0">
      <w:pPr>
        <w:pStyle w:val="ListParagraph"/>
        <w:tabs>
          <w:tab w:val="left" w:pos="851"/>
        </w:tabs>
        <w:ind w:left="993" w:hanging="567"/>
        <w:jc w:val="both"/>
        <w:rPr>
          <w:rFonts w:ascii="Arial" w:hAnsi="Arial" w:cs="Arial"/>
        </w:rPr>
      </w:pPr>
    </w:p>
    <w:p w:rsidR="00501161" w:rsidRPr="0082533E" w:rsidRDefault="00501161" w:rsidP="00511BA0">
      <w:pPr>
        <w:numPr>
          <w:ilvl w:val="0"/>
          <w:numId w:val="24"/>
        </w:numPr>
        <w:tabs>
          <w:tab w:val="left" w:pos="560"/>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93" w:hanging="567"/>
        <w:jc w:val="both"/>
        <w:rPr>
          <w:rFonts w:ascii="Arial" w:hAnsi="Arial" w:cs="Arial"/>
          <w:sz w:val="22"/>
          <w:szCs w:val="22"/>
        </w:rPr>
      </w:pPr>
      <w:r w:rsidRPr="00501161">
        <w:rPr>
          <w:rFonts w:ascii="Arial" w:hAnsi="Arial" w:cs="Arial"/>
          <w:sz w:val="22"/>
          <w:szCs w:val="22"/>
        </w:rPr>
        <w:t xml:space="preserve">Information about cover for flood should be given where possible at </w:t>
      </w:r>
      <w:r w:rsidRPr="0082533E">
        <w:rPr>
          <w:rFonts w:ascii="Arial" w:hAnsi="Arial" w:cs="Arial"/>
          <w:sz w:val="22"/>
          <w:szCs w:val="22"/>
        </w:rPr>
        <w:t>renewal.</w:t>
      </w:r>
    </w:p>
    <w:p w:rsidR="00501161" w:rsidRPr="00501161" w:rsidRDefault="00501161" w:rsidP="00501161">
      <w:pPr>
        <w:pStyle w:val="ListParagraph"/>
        <w:ind w:left="108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Unfortunately, the ASIC recommendations have not been heeded by industry over the last decade. Generally speaking, reforms were not made in the manner outlined above, apart from a failed attempt in 2008 to implement a sweeping, flawed and voluntary common definition of flood</w:t>
      </w:r>
      <w:r w:rsidRPr="00501161">
        <w:rPr>
          <w:rStyle w:val="FootnoteReference"/>
          <w:rFonts w:ascii="Arial" w:hAnsi="Arial" w:cs="Arial"/>
        </w:rPr>
        <w:footnoteReference w:id="5"/>
      </w:r>
      <w:r w:rsidR="0082533E">
        <w:rPr>
          <w:rFonts w:ascii="Arial" w:hAnsi="Arial" w:cs="Arial"/>
        </w:rPr>
        <w:t>.</w:t>
      </w:r>
    </w:p>
    <w:p w:rsidR="00501161" w:rsidRPr="00501161" w:rsidRDefault="00501161" w:rsidP="00501161">
      <w:pPr>
        <w:pStyle w:val="ListParagraph"/>
        <w:ind w:left="36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The consequence of that inertia from 2000 to date has been a market failure to adequately respond to significant natural disaster events.  Our recent casework experience in respect of the Q</w:t>
      </w:r>
      <w:r w:rsidR="0082533E">
        <w:rPr>
          <w:rFonts w:ascii="Arial" w:hAnsi="Arial" w:cs="Arial"/>
        </w:rPr>
        <w:t>ueens</w:t>
      </w:r>
      <w:r w:rsidRPr="00501161">
        <w:rPr>
          <w:rFonts w:ascii="Arial" w:hAnsi="Arial" w:cs="Arial"/>
        </w:rPr>
        <w:t>l</w:t>
      </w:r>
      <w:r w:rsidR="0082533E">
        <w:rPr>
          <w:rFonts w:ascii="Arial" w:hAnsi="Arial" w:cs="Arial"/>
        </w:rPr>
        <w:t>an</w:t>
      </w:r>
      <w:r w:rsidRPr="00501161">
        <w:rPr>
          <w:rFonts w:ascii="Arial" w:hAnsi="Arial" w:cs="Arial"/>
        </w:rPr>
        <w:t>d flood disaster and elsewhere has been that:</w:t>
      </w:r>
    </w:p>
    <w:p w:rsidR="00501161" w:rsidRPr="00501161" w:rsidRDefault="00501161" w:rsidP="00501161">
      <w:pPr>
        <w:pStyle w:val="ListParagraph"/>
        <w:ind w:left="360"/>
        <w:jc w:val="both"/>
        <w:rPr>
          <w:rFonts w:ascii="Arial" w:hAnsi="Arial" w:cs="Arial"/>
        </w:rPr>
      </w:pPr>
    </w:p>
    <w:p w:rsidR="00501161" w:rsidRPr="008916C6" w:rsidRDefault="00501161" w:rsidP="0082533E">
      <w:pPr>
        <w:pStyle w:val="ListParagraph"/>
        <w:numPr>
          <w:ilvl w:val="0"/>
          <w:numId w:val="21"/>
        </w:numPr>
        <w:spacing w:line="276" w:lineRule="auto"/>
        <w:ind w:right="-96"/>
        <w:jc w:val="both"/>
        <w:rPr>
          <w:rFonts w:ascii="Arial" w:hAnsi="Arial" w:cs="Arial"/>
        </w:rPr>
      </w:pPr>
      <w:r w:rsidRPr="00501161">
        <w:rPr>
          <w:rFonts w:ascii="Arial" w:hAnsi="Arial" w:cs="Arial"/>
        </w:rPr>
        <w:t xml:space="preserve">The marketplace </w:t>
      </w:r>
      <w:r w:rsidR="008916C6">
        <w:rPr>
          <w:rFonts w:ascii="Arial" w:hAnsi="Arial" w:cs="Arial"/>
        </w:rPr>
        <w:t>features</w:t>
      </w:r>
      <w:r w:rsidRPr="00501161">
        <w:rPr>
          <w:rFonts w:ascii="Arial" w:hAnsi="Arial" w:cs="Arial"/>
        </w:rPr>
        <w:t xml:space="preserve"> various </w:t>
      </w:r>
      <w:r w:rsidR="008916C6">
        <w:rPr>
          <w:rFonts w:ascii="Arial" w:hAnsi="Arial" w:cs="Arial"/>
        </w:rPr>
        <w:t xml:space="preserve">different </w:t>
      </w:r>
      <w:r w:rsidRPr="00501161">
        <w:rPr>
          <w:rFonts w:ascii="Arial" w:hAnsi="Arial" w:cs="Arial"/>
        </w:rPr>
        <w:t>definitions of flood, usually relied upon as an exclusion  clause,  rather than as part of cover</w:t>
      </w:r>
      <w:r w:rsidRPr="00501161">
        <w:rPr>
          <w:rStyle w:val="FootnoteReference"/>
          <w:rFonts w:ascii="Arial" w:hAnsi="Arial" w:cs="Arial"/>
        </w:rPr>
        <w:footnoteReference w:id="6"/>
      </w:r>
      <w:r w:rsidRPr="00501161">
        <w:rPr>
          <w:rFonts w:ascii="Arial" w:hAnsi="Arial" w:cs="Arial"/>
        </w:rPr>
        <w:t>:</w:t>
      </w:r>
      <w:r w:rsidR="008916C6">
        <w:rPr>
          <w:rFonts w:ascii="Arial" w:hAnsi="Arial" w:cs="Arial"/>
        </w:rPr>
        <w:t xml:space="preserve">  For example, National Legal Aid</w:t>
      </w:r>
      <w:r w:rsidRPr="008916C6">
        <w:rPr>
          <w:rFonts w:ascii="Arial" w:hAnsi="Arial" w:cs="Arial"/>
        </w:rPr>
        <w:t xml:space="preserve"> came </w:t>
      </w:r>
      <w:r w:rsidRPr="008916C6">
        <w:rPr>
          <w:rFonts w:ascii="Arial" w:hAnsi="Arial" w:cs="Arial"/>
        </w:rPr>
        <w:lastRenderedPageBreak/>
        <w:t>across 11 different definitions of flood</w:t>
      </w:r>
      <w:r w:rsidR="008916C6">
        <w:rPr>
          <w:rFonts w:ascii="Arial" w:hAnsi="Arial" w:cs="Arial"/>
        </w:rPr>
        <w:t xml:space="preserve"> in its work i</w:t>
      </w:r>
      <w:r w:rsidR="008916C6" w:rsidRPr="008916C6">
        <w:rPr>
          <w:rFonts w:ascii="Arial" w:hAnsi="Arial" w:cs="Arial"/>
        </w:rPr>
        <w:t>n the Wagga flood</w:t>
      </w:r>
      <w:r w:rsidR="008916C6">
        <w:rPr>
          <w:rFonts w:ascii="Arial" w:hAnsi="Arial" w:cs="Arial"/>
        </w:rPr>
        <w:t xml:space="preserve"> and 18 different definitions in the Queensland </w:t>
      </w:r>
      <w:r w:rsidRPr="008916C6">
        <w:rPr>
          <w:rFonts w:ascii="Arial" w:hAnsi="Arial" w:cs="Arial"/>
        </w:rPr>
        <w:t>floods</w:t>
      </w:r>
      <w:r w:rsidR="00DD7B55">
        <w:rPr>
          <w:rFonts w:ascii="Arial" w:hAnsi="Arial" w:cs="Arial"/>
        </w:rPr>
        <w:t>;</w:t>
      </w:r>
    </w:p>
    <w:p w:rsidR="00501161" w:rsidRPr="00501161" w:rsidRDefault="00501161" w:rsidP="00501161">
      <w:pPr>
        <w:pStyle w:val="ListParagraph"/>
        <w:ind w:left="1800"/>
        <w:jc w:val="both"/>
        <w:rPr>
          <w:rFonts w:ascii="Arial" w:hAnsi="Arial" w:cs="Arial"/>
        </w:rPr>
      </w:pPr>
    </w:p>
    <w:p w:rsidR="00501161" w:rsidRPr="00DD7B55" w:rsidRDefault="00501161" w:rsidP="00E8004A">
      <w:pPr>
        <w:pStyle w:val="ListParagraph"/>
        <w:numPr>
          <w:ilvl w:val="0"/>
          <w:numId w:val="21"/>
        </w:numPr>
        <w:spacing w:line="276" w:lineRule="auto"/>
        <w:ind w:right="-96"/>
        <w:jc w:val="both"/>
        <w:rPr>
          <w:rFonts w:ascii="Arial" w:hAnsi="Arial" w:cs="Arial"/>
        </w:rPr>
      </w:pPr>
      <w:r w:rsidRPr="00DD7B55">
        <w:rPr>
          <w:rFonts w:ascii="Arial" w:hAnsi="Arial" w:cs="Arial"/>
        </w:rPr>
        <w:t>The definitions of flood were in fact a confusing mixture of definitions that included all three of the ICA's broad categories for inundation</w:t>
      </w:r>
      <w:r w:rsidR="00DD7B55">
        <w:rPr>
          <w:rFonts w:ascii="Arial" w:hAnsi="Arial" w:cs="Arial"/>
        </w:rPr>
        <w:t xml:space="preserve"> - s</w:t>
      </w:r>
      <w:r w:rsidRPr="00DD7B55">
        <w:rPr>
          <w:rFonts w:ascii="Arial" w:hAnsi="Arial" w:cs="Arial"/>
        </w:rPr>
        <w:t>tormwater/rainfall run off</w:t>
      </w:r>
      <w:r w:rsidR="00DD7B55">
        <w:rPr>
          <w:rFonts w:ascii="Arial" w:hAnsi="Arial" w:cs="Arial"/>
        </w:rPr>
        <w:t xml:space="preserve">,  </w:t>
      </w:r>
      <w:proofErr w:type="spellStart"/>
      <w:r w:rsidR="00DD7B55">
        <w:rPr>
          <w:rFonts w:ascii="Arial" w:hAnsi="Arial" w:cs="Arial"/>
        </w:rPr>
        <w:t>r</w:t>
      </w:r>
      <w:r w:rsidRPr="00DD7B55">
        <w:rPr>
          <w:rFonts w:ascii="Arial" w:hAnsi="Arial" w:cs="Arial"/>
        </w:rPr>
        <w:t>iverine</w:t>
      </w:r>
      <w:proofErr w:type="spellEnd"/>
      <w:r w:rsidRPr="00DD7B55">
        <w:rPr>
          <w:rFonts w:ascii="Arial" w:hAnsi="Arial" w:cs="Arial"/>
        </w:rPr>
        <w:t>/inland flooding/flooding</w:t>
      </w:r>
      <w:r w:rsidR="00DD7B55">
        <w:rPr>
          <w:rFonts w:ascii="Arial" w:hAnsi="Arial" w:cs="Arial"/>
        </w:rPr>
        <w:t xml:space="preserve"> and a</w:t>
      </w:r>
      <w:r w:rsidRPr="00DD7B55">
        <w:rPr>
          <w:rFonts w:ascii="Arial" w:hAnsi="Arial" w:cs="Arial"/>
        </w:rPr>
        <w:t>ctions of the sea/sea level rise/ storm surge</w:t>
      </w:r>
      <w:r w:rsidR="00DD7B55">
        <w:rPr>
          <w:rFonts w:ascii="Arial" w:hAnsi="Arial" w:cs="Arial"/>
        </w:rPr>
        <w:t>;</w:t>
      </w:r>
    </w:p>
    <w:p w:rsidR="00501161" w:rsidRPr="00501161" w:rsidRDefault="00501161" w:rsidP="00501161">
      <w:pPr>
        <w:pStyle w:val="ListParagraph"/>
        <w:ind w:left="1800"/>
        <w:jc w:val="both"/>
        <w:rPr>
          <w:rFonts w:ascii="Arial" w:hAnsi="Arial" w:cs="Arial"/>
        </w:rPr>
      </w:pPr>
    </w:p>
    <w:p w:rsidR="00501161" w:rsidRPr="00501161" w:rsidRDefault="00501161" w:rsidP="00E8004A">
      <w:pPr>
        <w:pStyle w:val="ListParagraph"/>
        <w:numPr>
          <w:ilvl w:val="0"/>
          <w:numId w:val="21"/>
        </w:numPr>
        <w:spacing w:line="276" w:lineRule="auto"/>
        <w:ind w:right="-96"/>
        <w:jc w:val="both"/>
        <w:rPr>
          <w:rFonts w:ascii="Arial" w:hAnsi="Arial" w:cs="Arial"/>
        </w:rPr>
      </w:pPr>
      <w:r w:rsidRPr="00501161">
        <w:rPr>
          <w:rFonts w:ascii="Arial" w:hAnsi="Arial" w:cs="Arial"/>
        </w:rPr>
        <w:t>Consumers who have had their claims refused have expressed widespread confusion and concern that they thought</w:t>
      </w:r>
      <w:r w:rsidR="00DD7B55">
        <w:rPr>
          <w:rFonts w:ascii="Arial" w:hAnsi="Arial" w:cs="Arial"/>
        </w:rPr>
        <w:t xml:space="preserve"> they were covered for flood when in fact they were not;</w:t>
      </w:r>
    </w:p>
    <w:p w:rsidR="00501161" w:rsidRPr="00501161" w:rsidRDefault="00501161" w:rsidP="00501161">
      <w:pPr>
        <w:pStyle w:val="ListParagraph"/>
        <w:jc w:val="both"/>
        <w:rPr>
          <w:rFonts w:ascii="Arial" w:hAnsi="Arial" w:cs="Arial"/>
        </w:rPr>
      </w:pPr>
    </w:p>
    <w:p w:rsidR="00501161" w:rsidRPr="00501161" w:rsidRDefault="00501161" w:rsidP="00E8004A">
      <w:pPr>
        <w:pStyle w:val="ListParagraph"/>
        <w:numPr>
          <w:ilvl w:val="0"/>
          <w:numId w:val="21"/>
        </w:numPr>
        <w:spacing w:line="276" w:lineRule="auto"/>
        <w:ind w:right="-96"/>
        <w:jc w:val="both"/>
        <w:rPr>
          <w:rFonts w:ascii="Arial" w:hAnsi="Arial" w:cs="Arial"/>
        </w:rPr>
      </w:pPr>
      <w:r w:rsidRPr="00501161">
        <w:rPr>
          <w:rFonts w:ascii="Arial" w:hAnsi="Arial" w:cs="Arial"/>
        </w:rPr>
        <w:t>Much of that consumer confusion and concern related to misrepresentations at that time of sale of cover over the phone including:</w:t>
      </w:r>
    </w:p>
    <w:p w:rsidR="00501161" w:rsidRPr="00501161" w:rsidRDefault="00501161" w:rsidP="00501161">
      <w:pPr>
        <w:pStyle w:val="ListParagraph"/>
        <w:ind w:left="108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Failing to advise consumers of a 72 hour </w:t>
      </w:r>
      <w:r w:rsidR="00E9013F">
        <w:rPr>
          <w:rFonts w:ascii="Arial" w:hAnsi="Arial" w:cs="Arial"/>
        </w:rPr>
        <w:t>waiting period</w:t>
      </w:r>
      <w:r w:rsidRPr="00501161">
        <w:rPr>
          <w:rFonts w:ascii="Arial" w:hAnsi="Arial" w:cs="Arial"/>
        </w:rPr>
        <w:t xml:space="preserve"> after taking out the policy before cover applies</w:t>
      </w:r>
    </w:p>
    <w:p w:rsidR="00501161" w:rsidRPr="00501161" w:rsidRDefault="00501161" w:rsidP="00501161">
      <w:pPr>
        <w:pStyle w:val="ListParagraph"/>
        <w:ind w:left="180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Advising people their policies would provide the equivalent level of cover to rival policies when in fact it did not</w:t>
      </w:r>
    </w:p>
    <w:p w:rsidR="00501161" w:rsidRPr="00501161" w:rsidRDefault="00501161" w:rsidP="00501161">
      <w:pPr>
        <w:ind w:left="360"/>
        <w:jc w:val="both"/>
        <w:rPr>
          <w:rFonts w:ascii="Arial" w:hAnsi="Arial" w:cs="Arial"/>
          <w:sz w:val="22"/>
          <w:szCs w:val="22"/>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Giving consumers the impression that flood cover was automatic and uncapped</w:t>
      </w:r>
    </w:p>
    <w:p w:rsidR="00501161" w:rsidRPr="00501161" w:rsidRDefault="00501161" w:rsidP="00501161">
      <w:pPr>
        <w:pStyle w:val="ListParagraph"/>
        <w:ind w:left="36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Not advising of sum insured </w:t>
      </w:r>
      <w:r w:rsidR="00E60E54">
        <w:rPr>
          <w:rFonts w:ascii="Arial" w:hAnsi="Arial" w:cs="Arial"/>
        </w:rPr>
        <w:t>amounts</w:t>
      </w:r>
      <w:r w:rsidRPr="00501161">
        <w:rPr>
          <w:rFonts w:ascii="Arial" w:hAnsi="Arial" w:cs="Arial"/>
        </w:rPr>
        <w:t xml:space="preserve"> - which leave consumers effectively unaware that they are underinsured </w:t>
      </w:r>
    </w:p>
    <w:p w:rsidR="00501161" w:rsidRPr="00501161" w:rsidRDefault="00501161" w:rsidP="00501161">
      <w:pPr>
        <w:pStyle w:val="ListParagraph"/>
        <w:ind w:left="36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Insurance being sold in person or on the phone by frontline Bank staff as agents of the insurer who do not have an appropriate understanding of Insurance to allow them to answer basic features of the product</w:t>
      </w:r>
    </w:p>
    <w:p w:rsidR="00501161" w:rsidRPr="00501161" w:rsidRDefault="00501161" w:rsidP="00501161">
      <w:pPr>
        <w:pStyle w:val="ListParagraph"/>
        <w:ind w:left="36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Statements being made like “</w:t>
      </w:r>
      <w:r w:rsidRPr="00501161">
        <w:rPr>
          <w:rFonts w:ascii="Arial" w:hAnsi="Arial" w:cs="Arial"/>
          <w:i/>
        </w:rPr>
        <w:t>You are covered for all you need.”</w:t>
      </w:r>
    </w:p>
    <w:p w:rsidR="00501161" w:rsidRPr="00501161" w:rsidRDefault="00501161" w:rsidP="00501161">
      <w:pPr>
        <w:pStyle w:val="ListParagraph"/>
        <w:ind w:left="36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Consumers in Queensland given information relevant only to NSW policies </w:t>
      </w:r>
    </w:p>
    <w:p w:rsidR="00501161" w:rsidRPr="00501161" w:rsidRDefault="00501161" w:rsidP="00501161">
      <w:pPr>
        <w:pStyle w:val="ListParagraph"/>
        <w:ind w:left="1080"/>
        <w:jc w:val="both"/>
        <w:rPr>
          <w:rFonts w:ascii="Arial" w:hAnsi="Arial" w:cs="Arial"/>
          <w:b/>
        </w:rPr>
      </w:pPr>
    </w:p>
    <w:p w:rsidR="00501161" w:rsidRPr="00501161" w:rsidRDefault="00501161" w:rsidP="0096139D">
      <w:pPr>
        <w:pStyle w:val="ListParagraph"/>
        <w:numPr>
          <w:ilvl w:val="0"/>
          <w:numId w:val="21"/>
        </w:numPr>
        <w:spacing w:line="276" w:lineRule="auto"/>
        <w:ind w:right="-96"/>
        <w:jc w:val="both"/>
        <w:rPr>
          <w:rFonts w:ascii="Arial" w:hAnsi="Arial" w:cs="Arial"/>
        </w:rPr>
      </w:pPr>
      <w:r w:rsidRPr="00501161">
        <w:rPr>
          <w:rFonts w:ascii="Arial" w:hAnsi="Arial" w:cs="Arial"/>
        </w:rPr>
        <w:t>Many consumers were unaware that they only had limited cover for flood, and that:</w:t>
      </w:r>
    </w:p>
    <w:p w:rsidR="00501161" w:rsidRPr="00501161" w:rsidRDefault="00501161" w:rsidP="00501161">
      <w:pPr>
        <w:pStyle w:val="ListParagraph"/>
        <w:ind w:left="108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The only time they became aware of their level of cover for flood was when </w:t>
      </w:r>
      <w:r w:rsidR="00570545">
        <w:rPr>
          <w:rFonts w:ascii="Arial" w:hAnsi="Arial" w:cs="Arial"/>
        </w:rPr>
        <w:t xml:space="preserve">they came to make a claim and </w:t>
      </w:r>
      <w:r w:rsidRPr="00501161">
        <w:rPr>
          <w:rFonts w:ascii="Arial" w:hAnsi="Arial" w:cs="Arial"/>
        </w:rPr>
        <w:t>their insurer advised them that the limitation was in their Pro</w:t>
      </w:r>
      <w:r w:rsidR="0096139D">
        <w:rPr>
          <w:rFonts w:ascii="Arial" w:hAnsi="Arial" w:cs="Arial"/>
        </w:rPr>
        <w:t>duct Disclosure Statement (PDS)</w:t>
      </w:r>
    </w:p>
    <w:p w:rsidR="00501161" w:rsidRPr="00501161" w:rsidRDefault="00501161" w:rsidP="00501161">
      <w:pPr>
        <w:ind w:left="1440"/>
        <w:jc w:val="both"/>
        <w:rPr>
          <w:rFonts w:ascii="Arial" w:hAnsi="Arial" w:cs="Arial"/>
          <w:sz w:val="22"/>
          <w:szCs w:val="22"/>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To understand their level of cover involved reading various technical definitions within the PDS and then piecing together the legal implications of the limits of cover  </w:t>
      </w:r>
    </w:p>
    <w:p w:rsidR="00501161" w:rsidRPr="00501161" w:rsidRDefault="00501161" w:rsidP="00501161">
      <w:pPr>
        <w:pStyle w:val="ListParagraph"/>
        <w:ind w:left="1080"/>
        <w:jc w:val="both"/>
        <w:rPr>
          <w:rFonts w:ascii="Arial" w:hAnsi="Arial" w:cs="Arial"/>
        </w:rPr>
      </w:pPr>
    </w:p>
    <w:p w:rsidR="00501161" w:rsidRPr="00501161" w:rsidRDefault="00501161" w:rsidP="0096139D">
      <w:pPr>
        <w:pStyle w:val="ListParagraph"/>
        <w:numPr>
          <w:ilvl w:val="0"/>
          <w:numId w:val="21"/>
        </w:numPr>
        <w:spacing w:line="276" w:lineRule="auto"/>
        <w:ind w:right="-96"/>
        <w:jc w:val="both"/>
        <w:rPr>
          <w:rFonts w:ascii="Arial" w:hAnsi="Arial" w:cs="Arial"/>
        </w:rPr>
      </w:pPr>
      <w:r w:rsidRPr="00501161">
        <w:rPr>
          <w:rFonts w:ascii="Arial" w:hAnsi="Arial" w:cs="Arial"/>
        </w:rPr>
        <w:t>The reality for many Australians who lost their homes or property is that their insurance did not indemnify them for the most significant insurance event of their lives:</w:t>
      </w:r>
    </w:p>
    <w:p w:rsidR="00501161" w:rsidRPr="00501161" w:rsidRDefault="00501161" w:rsidP="00501161">
      <w:pPr>
        <w:pStyle w:val="ListParagraph"/>
        <w:ind w:left="108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Whilst the majority of claims were paid in Qld floods, the refusal rate for this disaster event was significantly higher than industry average</w:t>
      </w:r>
      <w:r w:rsidRPr="00501161">
        <w:rPr>
          <w:rStyle w:val="FootnoteReference"/>
          <w:rFonts w:ascii="Arial" w:hAnsi="Arial" w:cs="Arial"/>
        </w:rPr>
        <w:footnoteReference w:id="7"/>
      </w:r>
    </w:p>
    <w:p w:rsidR="00501161" w:rsidRPr="00501161" w:rsidRDefault="00501161" w:rsidP="00501161">
      <w:pPr>
        <w:pStyle w:val="ListParagraph"/>
        <w:ind w:left="180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A significant number of Australians were not indemnified for their significant loss</w:t>
      </w:r>
    </w:p>
    <w:p w:rsidR="00501161" w:rsidRPr="00501161" w:rsidRDefault="00501161" w:rsidP="00501161">
      <w:pPr>
        <w:pStyle w:val="ListParagraph"/>
        <w:ind w:left="1080"/>
        <w:rPr>
          <w:rFonts w:ascii="Arial" w:hAnsi="Arial" w:cs="Arial"/>
        </w:rPr>
      </w:pPr>
    </w:p>
    <w:p w:rsidR="00501161" w:rsidRPr="00501161" w:rsidRDefault="00501161" w:rsidP="0096139D">
      <w:pPr>
        <w:pStyle w:val="ListParagraph"/>
        <w:numPr>
          <w:ilvl w:val="0"/>
          <w:numId w:val="21"/>
        </w:numPr>
        <w:spacing w:line="276" w:lineRule="auto"/>
        <w:ind w:right="-96"/>
        <w:jc w:val="both"/>
        <w:rPr>
          <w:rFonts w:ascii="Arial" w:hAnsi="Arial" w:cs="Arial"/>
        </w:rPr>
      </w:pPr>
      <w:r w:rsidRPr="00501161">
        <w:rPr>
          <w:rFonts w:ascii="Arial" w:hAnsi="Arial" w:cs="Arial"/>
        </w:rPr>
        <w:lastRenderedPageBreak/>
        <w:t>Many consumers were the victims of poor claims handling by insurers which included, amongst other things:</w:t>
      </w:r>
    </w:p>
    <w:p w:rsidR="00501161" w:rsidRPr="00501161" w:rsidRDefault="00501161" w:rsidP="00501161">
      <w:pPr>
        <w:pStyle w:val="ListParagraph"/>
        <w:ind w:left="108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Serious delays in processing and confirming in writing of refused insurance claims </w:t>
      </w:r>
    </w:p>
    <w:p w:rsidR="00501161" w:rsidRPr="00501161" w:rsidRDefault="00501161" w:rsidP="00501161">
      <w:pPr>
        <w:pStyle w:val="ListParagraph"/>
        <w:ind w:left="180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Insurers advising consumers on the phone</w:t>
      </w:r>
      <w:r w:rsidR="0096139D">
        <w:rPr>
          <w:rFonts w:ascii="Arial" w:hAnsi="Arial" w:cs="Arial"/>
        </w:rPr>
        <w:t xml:space="preserve"> </w:t>
      </w:r>
      <w:r w:rsidRPr="00501161">
        <w:rPr>
          <w:rFonts w:ascii="Arial" w:hAnsi="Arial" w:cs="Arial"/>
          <w:i/>
        </w:rPr>
        <w:t xml:space="preserve">"You're not covered for flood – you can't make a claim" </w:t>
      </w:r>
    </w:p>
    <w:p w:rsidR="00501161" w:rsidRPr="00501161" w:rsidRDefault="00501161" w:rsidP="00501161">
      <w:pPr>
        <w:pStyle w:val="ListParagraph"/>
        <w:ind w:left="180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Insurers advising consumers at an early stage after the floods that they would be indemnified - but then consumers still waiting some four months after the floods  for the insurer to know whether the insurer is going to pay the claim</w:t>
      </w:r>
    </w:p>
    <w:p w:rsidR="00501161" w:rsidRPr="00501161" w:rsidRDefault="00501161" w:rsidP="00501161">
      <w:pPr>
        <w:pStyle w:val="ListParagraph"/>
        <w:ind w:left="1080"/>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Insurers pressuring consumers into accepting a limited settlement of their claim </w:t>
      </w:r>
    </w:p>
    <w:p w:rsidR="00501161" w:rsidRPr="00501161" w:rsidRDefault="00501161" w:rsidP="00501161">
      <w:pPr>
        <w:pStyle w:val="ListParagraph"/>
        <w:ind w:left="1080"/>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 xml:space="preserve">Insurers engaging contractors that provide low-end quotes and </w:t>
      </w:r>
      <w:r w:rsidR="00570545">
        <w:rPr>
          <w:rFonts w:ascii="Arial" w:hAnsi="Arial" w:cs="Arial"/>
        </w:rPr>
        <w:t xml:space="preserve">incomplete </w:t>
      </w:r>
      <w:r w:rsidRPr="00501161">
        <w:rPr>
          <w:rFonts w:ascii="Arial" w:hAnsi="Arial" w:cs="Arial"/>
        </w:rPr>
        <w:t>scopes of works before making a low lump sum payment offer</w:t>
      </w:r>
    </w:p>
    <w:p w:rsidR="00501161" w:rsidRPr="00501161" w:rsidRDefault="00501161" w:rsidP="00501161">
      <w:pPr>
        <w:pStyle w:val="ListParagraph"/>
        <w:ind w:left="1800"/>
        <w:jc w:val="bot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Insurers requiring consumers to provided itemised lists of contents lost, including getting quotes from suppliers for each item and calculating depreciation on each item – even in situations of total loss on a sum insured policy where there is no allegation or evidence of fraud</w:t>
      </w:r>
    </w:p>
    <w:p w:rsidR="00501161" w:rsidRPr="00501161" w:rsidRDefault="00501161" w:rsidP="00501161">
      <w:pPr>
        <w:pStyle w:val="ListParagraph"/>
        <w:rPr>
          <w:rFonts w:ascii="Arial" w:hAnsi="Arial" w:cs="Arial"/>
        </w:rPr>
      </w:pPr>
    </w:p>
    <w:p w:rsidR="00501161" w:rsidRPr="00501161" w:rsidRDefault="00501161" w:rsidP="008916C6">
      <w:pPr>
        <w:pStyle w:val="ListParagraph"/>
        <w:numPr>
          <w:ilvl w:val="1"/>
          <w:numId w:val="40"/>
        </w:numPr>
        <w:jc w:val="both"/>
        <w:rPr>
          <w:rFonts w:ascii="Arial" w:hAnsi="Arial" w:cs="Arial"/>
        </w:rPr>
      </w:pPr>
      <w:r w:rsidRPr="00501161">
        <w:rPr>
          <w:rFonts w:ascii="Arial" w:hAnsi="Arial" w:cs="Arial"/>
        </w:rPr>
        <w:t>Insurers outsourcing significant quantity of their claims work to private solicitors  - who used legal concepts like "legal professional privilege" as a basis for not providing hydrology reports they have relied upon to refuse claims</w:t>
      </w:r>
    </w:p>
    <w:p w:rsidR="00501161" w:rsidRPr="00501161" w:rsidRDefault="00501161" w:rsidP="00501161">
      <w:pPr>
        <w:rPr>
          <w:rFonts w:ascii="Arial" w:hAnsi="Arial" w:cs="Arial"/>
          <w:sz w:val="22"/>
          <w:szCs w:val="22"/>
        </w:rPr>
      </w:pPr>
    </w:p>
    <w:p w:rsidR="00501161" w:rsidRDefault="00DD7B55" w:rsidP="00511BA0">
      <w:pPr>
        <w:pStyle w:val="ListParagraph"/>
        <w:ind w:left="0"/>
        <w:jc w:val="both"/>
        <w:rPr>
          <w:rFonts w:ascii="Arial" w:hAnsi="Arial" w:cs="Arial"/>
        </w:rPr>
      </w:pPr>
      <w:r w:rsidRPr="0096139D">
        <w:rPr>
          <w:rFonts w:ascii="Arial" w:hAnsi="Arial" w:cs="Arial"/>
        </w:rPr>
        <w:t xml:space="preserve">Resolving these issues will require a broader range of reform than envisaged by the discussion paper.  Some further reforms we suggest - unfair contract terms protection for insurance consumers and an Australian Standard for </w:t>
      </w:r>
      <w:r w:rsidR="0096139D">
        <w:rPr>
          <w:rFonts w:ascii="Arial" w:hAnsi="Arial" w:cs="Arial"/>
        </w:rPr>
        <w:t>claims handling and assessment</w:t>
      </w:r>
      <w:r w:rsidRPr="0096139D">
        <w:rPr>
          <w:rFonts w:ascii="Arial" w:hAnsi="Arial" w:cs="Arial"/>
        </w:rPr>
        <w:t xml:space="preserve"> - are discussed at the end of this submission</w:t>
      </w:r>
      <w:r>
        <w:rPr>
          <w:rFonts w:ascii="Arial" w:hAnsi="Arial" w:cs="Arial"/>
        </w:rPr>
        <w:t>.</w:t>
      </w:r>
    </w:p>
    <w:p w:rsidR="00BD57DC" w:rsidRDefault="00BD57DC" w:rsidP="0096139D">
      <w:pPr>
        <w:pStyle w:val="ListParagraph"/>
        <w:ind w:left="360"/>
        <w:jc w:val="both"/>
        <w:rPr>
          <w:rFonts w:ascii="Arial" w:hAnsi="Arial" w:cs="Arial"/>
        </w:rPr>
      </w:pPr>
    </w:p>
    <w:p w:rsidR="00501161" w:rsidRDefault="00684130" w:rsidP="00501161">
      <w:pPr>
        <w:pStyle w:val="ListParagraph"/>
        <w:ind w:left="0"/>
        <w:jc w:val="both"/>
        <w:rPr>
          <w:rFonts w:ascii="Arial" w:hAnsi="Arial" w:cs="Arial"/>
          <w:i/>
        </w:rPr>
      </w:pPr>
      <w:r w:rsidRPr="00684130">
        <w:rPr>
          <w:rFonts w:ascii="Arial" w:hAnsi="Arial" w:cs="Arial"/>
          <w:i/>
        </w:rPr>
        <w:t>Is the proposed wording of the standard definition appropriate</w:t>
      </w:r>
      <w:r>
        <w:rPr>
          <w:rFonts w:ascii="Arial" w:hAnsi="Arial" w:cs="Arial"/>
          <w:i/>
        </w:rPr>
        <w:t>?</w:t>
      </w:r>
    </w:p>
    <w:p w:rsidR="00684130" w:rsidRPr="00501161" w:rsidRDefault="00684130" w:rsidP="00501161">
      <w:pPr>
        <w:pStyle w:val="ListParagraph"/>
        <w:ind w:left="0"/>
        <w:jc w:val="both"/>
        <w:rPr>
          <w:rFonts w:ascii="Arial" w:hAnsi="Arial" w:cs="Arial"/>
        </w:rPr>
      </w:pPr>
    </w:p>
    <w:p w:rsidR="00501161" w:rsidRPr="00501161" w:rsidRDefault="00501161" w:rsidP="00511BA0">
      <w:pPr>
        <w:pStyle w:val="ListParagraph"/>
        <w:ind w:left="0"/>
        <w:jc w:val="both"/>
        <w:rPr>
          <w:rFonts w:ascii="Arial" w:hAnsi="Arial" w:cs="Arial"/>
        </w:rPr>
      </w:pPr>
      <w:r w:rsidRPr="00501161">
        <w:rPr>
          <w:rFonts w:ascii="Arial" w:hAnsi="Arial" w:cs="Arial"/>
        </w:rPr>
        <w:t>We support the proposed definition of flood as outlined on page five of the discussion paper. It represents a significant improvement on the last attempt</w:t>
      </w:r>
      <w:r w:rsidRPr="00501161">
        <w:rPr>
          <w:rStyle w:val="FootnoteReference"/>
          <w:rFonts w:ascii="Arial" w:hAnsi="Arial" w:cs="Arial"/>
        </w:rPr>
        <w:footnoteReference w:id="8"/>
      </w:r>
      <w:r w:rsidRPr="00501161">
        <w:rPr>
          <w:rFonts w:ascii="Arial" w:hAnsi="Arial" w:cs="Arial"/>
        </w:rPr>
        <w:t xml:space="preserve"> to devise a common definition of flood.  We do not propose at this stage any different wordings or approaches for the standard definition of flood.</w:t>
      </w:r>
    </w:p>
    <w:p w:rsidR="00501161" w:rsidRPr="00501161" w:rsidRDefault="00501161" w:rsidP="00501161">
      <w:pPr>
        <w:pStyle w:val="ListParagraph"/>
        <w:ind w:left="0"/>
        <w:jc w:val="both"/>
        <w:rPr>
          <w:rFonts w:ascii="Arial" w:hAnsi="Arial" w:cs="Arial"/>
        </w:rPr>
      </w:pPr>
    </w:p>
    <w:p w:rsidR="00684130" w:rsidRDefault="00684130" w:rsidP="00501161">
      <w:pPr>
        <w:pStyle w:val="ListParagraph"/>
        <w:ind w:left="0"/>
        <w:jc w:val="both"/>
        <w:rPr>
          <w:rFonts w:ascii="Arial" w:hAnsi="Arial" w:cs="Arial"/>
          <w:i/>
        </w:rPr>
      </w:pPr>
      <w:r w:rsidRPr="00684130">
        <w:rPr>
          <w:rFonts w:ascii="Arial" w:hAnsi="Arial" w:cs="Arial"/>
          <w:i/>
        </w:rPr>
        <w:t>Should water escaping from water channels constructed within natural watercourses be treated in the same way as water escaping from natural watercourses</w:t>
      </w:r>
      <w:r>
        <w:rPr>
          <w:rFonts w:ascii="Arial" w:hAnsi="Arial" w:cs="Arial"/>
          <w:i/>
        </w:rPr>
        <w:t>?</w:t>
      </w:r>
      <w:r w:rsidRPr="00684130">
        <w:rPr>
          <w:rFonts w:ascii="Arial" w:hAnsi="Arial" w:cs="Arial"/>
          <w:i/>
        </w:rPr>
        <w:t xml:space="preserve"> </w:t>
      </w:r>
    </w:p>
    <w:p w:rsidR="00684130" w:rsidRPr="00684130" w:rsidRDefault="00684130" w:rsidP="00501161">
      <w:pPr>
        <w:pStyle w:val="ListParagraph"/>
        <w:ind w:left="0"/>
        <w:jc w:val="both"/>
        <w:rPr>
          <w:rFonts w:ascii="Arial" w:hAnsi="Arial" w:cs="Arial"/>
        </w:rPr>
      </w:pPr>
    </w:p>
    <w:p w:rsidR="00684130" w:rsidRPr="00684130" w:rsidRDefault="00684130" w:rsidP="00501161">
      <w:pPr>
        <w:pStyle w:val="ListParagraph"/>
        <w:ind w:left="0"/>
        <w:jc w:val="both"/>
        <w:rPr>
          <w:rFonts w:ascii="Arial" w:hAnsi="Arial" w:cs="Arial"/>
        </w:rPr>
      </w:pPr>
      <w:r w:rsidRPr="00684130">
        <w:rPr>
          <w:rFonts w:ascii="Arial" w:hAnsi="Arial" w:cs="Arial"/>
        </w:rPr>
        <w:t>And</w:t>
      </w:r>
    </w:p>
    <w:p w:rsidR="00684130" w:rsidRPr="00684130" w:rsidRDefault="00684130" w:rsidP="00501161">
      <w:pPr>
        <w:pStyle w:val="ListParagraph"/>
        <w:ind w:left="0"/>
        <w:jc w:val="both"/>
        <w:rPr>
          <w:rFonts w:ascii="Arial" w:hAnsi="Arial" w:cs="Arial"/>
        </w:rPr>
      </w:pPr>
    </w:p>
    <w:p w:rsidR="00501161" w:rsidRDefault="00684130" w:rsidP="00501161">
      <w:pPr>
        <w:pStyle w:val="ListParagraph"/>
        <w:ind w:left="0"/>
        <w:jc w:val="both"/>
        <w:rPr>
          <w:rFonts w:ascii="Arial" w:hAnsi="Arial" w:cs="Arial"/>
          <w:i/>
        </w:rPr>
      </w:pPr>
      <w:r w:rsidRPr="00684130">
        <w:rPr>
          <w:rFonts w:ascii="Arial" w:hAnsi="Arial" w:cs="Arial"/>
          <w:i/>
        </w:rPr>
        <w:t>Does the language in proposed paragraph (a)</w:t>
      </w:r>
      <w:r>
        <w:rPr>
          <w:rFonts w:ascii="Arial" w:hAnsi="Arial" w:cs="Arial"/>
          <w:i/>
        </w:rPr>
        <w:t xml:space="preserve"> [of the standard definition of flood]</w:t>
      </w:r>
      <w:r w:rsidRPr="00684130">
        <w:rPr>
          <w:rFonts w:ascii="Arial" w:hAnsi="Arial" w:cs="Arial"/>
          <w:i/>
        </w:rPr>
        <w:t xml:space="preserve"> cover those water channels and, if not, would it be appropriate to add some further elements to paragraph (a) or (b) to ensure that such water channels are included</w:t>
      </w:r>
      <w:r>
        <w:rPr>
          <w:rFonts w:ascii="Arial" w:hAnsi="Arial" w:cs="Arial"/>
          <w:i/>
        </w:rPr>
        <w:t>?</w:t>
      </w:r>
    </w:p>
    <w:p w:rsidR="00684130" w:rsidRPr="00501161" w:rsidRDefault="00684130" w:rsidP="00501161">
      <w:pPr>
        <w:pStyle w:val="ListParagraph"/>
        <w:ind w:left="0"/>
        <w:jc w:val="both"/>
        <w:rPr>
          <w:rFonts w:ascii="Arial" w:hAnsi="Arial" w:cs="Arial"/>
        </w:rPr>
      </w:pPr>
    </w:p>
    <w:p w:rsidR="00501161" w:rsidRPr="00501161" w:rsidRDefault="00501161" w:rsidP="00464B24">
      <w:pPr>
        <w:pStyle w:val="ListParagraph"/>
        <w:ind w:left="0"/>
        <w:jc w:val="both"/>
        <w:rPr>
          <w:rFonts w:ascii="Arial" w:hAnsi="Arial" w:cs="Arial"/>
        </w:rPr>
      </w:pPr>
      <w:r w:rsidRPr="00501161">
        <w:rPr>
          <w:rFonts w:ascii="Arial" w:hAnsi="Arial" w:cs="Arial"/>
        </w:rPr>
        <w:t xml:space="preserve">Water </w:t>
      </w:r>
      <w:r w:rsidR="00684130">
        <w:rPr>
          <w:rFonts w:ascii="Arial" w:hAnsi="Arial" w:cs="Arial"/>
        </w:rPr>
        <w:t xml:space="preserve">escaping from water </w:t>
      </w:r>
      <w:r w:rsidRPr="00501161">
        <w:rPr>
          <w:rFonts w:ascii="Arial" w:hAnsi="Arial" w:cs="Arial"/>
        </w:rPr>
        <w:t xml:space="preserve">channels </w:t>
      </w:r>
      <w:r w:rsidR="00684130">
        <w:rPr>
          <w:rFonts w:ascii="Arial" w:hAnsi="Arial" w:cs="Arial"/>
        </w:rPr>
        <w:t>is already accommodated to the appropriate degree in the proposed standard definition wording in the discussion paper, and should not be given its</w:t>
      </w:r>
      <w:r w:rsidRPr="00501161">
        <w:rPr>
          <w:rFonts w:ascii="Arial" w:hAnsi="Arial" w:cs="Arial"/>
        </w:rPr>
        <w:t xml:space="preserve"> own additional reference within the </w:t>
      </w:r>
      <w:r w:rsidR="00684130">
        <w:rPr>
          <w:rFonts w:ascii="Arial" w:hAnsi="Arial" w:cs="Arial"/>
        </w:rPr>
        <w:t>standard definition of flood.  This is</w:t>
      </w:r>
      <w:r w:rsidRPr="00501161">
        <w:rPr>
          <w:rFonts w:ascii="Arial" w:hAnsi="Arial" w:cs="Arial"/>
        </w:rPr>
        <w:t xml:space="preserve"> because:</w:t>
      </w:r>
    </w:p>
    <w:p w:rsidR="00501161" w:rsidRPr="00501161" w:rsidRDefault="00501161" w:rsidP="00501161">
      <w:pPr>
        <w:pStyle w:val="ListParagraph"/>
        <w:ind w:left="360"/>
        <w:jc w:val="both"/>
        <w:rPr>
          <w:rFonts w:ascii="Arial" w:hAnsi="Arial" w:cs="Arial"/>
        </w:rPr>
      </w:pPr>
    </w:p>
    <w:p w:rsidR="00501161" w:rsidRPr="00501161" w:rsidRDefault="00501161" w:rsidP="000C21C1">
      <w:pPr>
        <w:pStyle w:val="ListParagraph"/>
        <w:numPr>
          <w:ilvl w:val="0"/>
          <w:numId w:val="31"/>
        </w:numPr>
        <w:ind w:left="709"/>
        <w:jc w:val="both"/>
        <w:rPr>
          <w:rFonts w:ascii="Arial" w:hAnsi="Arial" w:cs="Arial"/>
        </w:rPr>
      </w:pPr>
      <w:r w:rsidRPr="00501161">
        <w:rPr>
          <w:rFonts w:ascii="Arial" w:hAnsi="Arial" w:cs="Arial"/>
        </w:rPr>
        <w:t xml:space="preserve">Water channels constructed within natural watercourses will naturally fit within the existing </w:t>
      </w:r>
      <w:r w:rsidR="00684130">
        <w:rPr>
          <w:rFonts w:ascii="Arial" w:hAnsi="Arial" w:cs="Arial"/>
        </w:rPr>
        <w:t xml:space="preserve">proposed </w:t>
      </w:r>
      <w:r w:rsidRPr="00501161">
        <w:rPr>
          <w:rFonts w:ascii="Arial" w:hAnsi="Arial" w:cs="Arial"/>
        </w:rPr>
        <w:t xml:space="preserve">definition </w:t>
      </w:r>
      <w:r w:rsidR="00684130">
        <w:rPr>
          <w:rFonts w:ascii="Arial" w:hAnsi="Arial" w:cs="Arial"/>
        </w:rPr>
        <w:t xml:space="preserve">- as natural watercourses that have been altered or </w:t>
      </w:r>
      <w:r w:rsidR="00684130">
        <w:rPr>
          <w:rFonts w:ascii="Arial" w:hAnsi="Arial" w:cs="Arial"/>
        </w:rPr>
        <w:lastRenderedPageBreak/>
        <w:t>modified.  Water escaping from water channels within natural watercourses fits with what a consumer would reasonably or ordinarily understand to be flooding</w:t>
      </w:r>
      <w:r w:rsidRPr="00501161">
        <w:rPr>
          <w:rFonts w:ascii="Arial" w:hAnsi="Arial" w:cs="Arial"/>
        </w:rPr>
        <w:t>;</w:t>
      </w:r>
      <w:r w:rsidR="000C21C1">
        <w:rPr>
          <w:rFonts w:ascii="Arial" w:hAnsi="Arial" w:cs="Arial"/>
        </w:rPr>
        <w:t xml:space="preserve"> and</w:t>
      </w:r>
    </w:p>
    <w:p w:rsidR="00501161" w:rsidRPr="00501161" w:rsidRDefault="00501161" w:rsidP="00501161">
      <w:pPr>
        <w:pStyle w:val="ListParagraph"/>
        <w:ind w:left="1080"/>
        <w:jc w:val="both"/>
        <w:rPr>
          <w:rFonts w:ascii="Arial" w:hAnsi="Arial" w:cs="Arial"/>
        </w:rPr>
      </w:pPr>
    </w:p>
    <w:p w:rsidR="00501161" w:rsidRPr="00501161" w:rsidRDefault="00501161" w:rsidP="000C21C1">
      <w:pPr>
        <w:pStyle w:val="ListParagraph"/>
        <w:numPr>
          <w:ilvl w:val="0"/>
          <w:numId w:val="31"/>
        </w:numPr>
        <w:ind w:left="709"/>
        <w:jc w:val="both"/>
        <w:rPr>
          <w:rFonts w:ascii="Arial" w:hAnsi="Arial" w:cs="Arial"/>
        </w:rPr>
      </w:pPr>
      <w:r w:rsidRPr="00501161">
        <w:rPr>
          <w:rFonts w:ascii="Arial" w:hAnsi="Arial" w:cs="Arial"/>
        </w:rPr>
        <w:t>Water channels which are not constructed within a natural watercourse should not be considered as part of the flood definition, as they contain a meaning more ordinarily associated with storm (including storm water channels)</w:t>
      </w:r>
      <w:r w:rsidR="00684130">
        <w:rPr>
          <w:rFonts w:ascii="Arial" w:hAnsi="Arial" w:cs="Arial"/>
        </w:rPr>
        <w:t>,</w:t>
      </w:r>
      <w:r w:rsidRPr="00501161">
        <w:rPr>
          <w:rFonts w:ascii="Arial" w:hAnsi="Arial" w:cs="Arial"/>
        </w:rPr>
        <w:t xml:space="preserve"> not flood. For this reason, including these kind of water channels would offend key guiding principles of a common definition including that the definition should align with the natural ordinary meaning of flood, and the definition should give proper disclosure of risk</w:t>
      </w:r>
      <w:r w:rsidR="000C21C1">
        <w:rPr>
          <w:rFonts w:ascii="Arial" w:hAnsi="Arial" w:cs="Arial"/>
        </w:rPr>
        <w:t>.</w:t>
      </w:r>
    </w:p>
    <w:p w:rsidR="00501161" w:rsidRPr="00501161" w:rsidRDefault="00501161" w:rsidP="00501161">
      <w:pPr>
        <w:pStyle w:val="ListParagraph"/>
        <w:jc w:val="both"/>
        <w:rPr>
          <w:rFonts w:ascii="Arial" w:hAnsi="Arial" w:cs="Arial"/>
        </w:rPr>
      </w:pPr>
    </w:p>
    <w:p w:rsidR="00501161" w:rsidRPr="00501161" w:rsidRDefault="00501161" w:rsidP="00501161">
      <w:pPr>
        <w:jc w:val="both"/>
        <w:rPr>
          <w:rFonts w:ascii="Arial" w:hAnsi="Arial" w:cs="Arial"/>
          <w:i/>
          <w:sz w:val="22"/>
          <w:szCs w:val="22"/>
        </w:rPr>
      </w:pPr>
      <w:r w:rsidRPr="00501161">
        <w:rPr>
          <w:rFonts w:ascii="Arial" w:hAnsi="Arial" w:cs="Arial"/>
          <w:i/>
          <w:sz w:val="22"/>
          <w:szCs w:val="22"/>
        </w:rPr>
        <w:t>Implementation of a standard definition</w:t>
      </w:r>
    </w:p>
    <w:p w:rsidR="00501161" w:rsidRPr="00501161" w:rsidRDefault="00501161" w:rsidP="00501161">
      <w:pPr>
        <w:jc w:val="both"/>
        <w:rPr>
          <w:rFonts w:ascii="Arial" w:hAnsi="Arial" w:cs="Arial"/>
          <w:sz w:val="22"/>
          <w:szCs w:val="22"/>
        </w:rPr>
      </w:pPr>
    </w:p>
    <w:p w:rsidR="00501161" w:rsidRPr="00501161" w:rsidRDefault="00501161" w:rsidP="000C21C1">
      <w:pPr>
        <w:pStyle w:val="ListParagraph"/>
        <w:ind w:left="0"/>
        <w:jc w:val="both"/>
        <w:rPr>
          <w:rFonts w:ascii="Arial" w:hAnsi="Arial" w:cs="Arial"/>
        </w:rPr>
      </w:pPr>
      <w:r w:rsidRPr="00501161">
        <w:rPr>
          <w:rFonts w:ascii="Arial" w:hAnsi="Arial" w:cs="Arial"/>
        </w:rPr>
        <w:t xml:space="preserve">We support the implementation of a standard definition of flood through separate provisions within the </w:t>
      </w:r>
      <w:r w:rsidRPr="00501161">
        <w:rPr>
          <w:rFonts w:ascii="Arial" w:hAnsi="Arial" w:cs="Arial"/>
          <w:i/>
        </w:rPr>
        <w:t>Insurance Contracts Act</w:t>
      </w:r>
      <w:r w:rsidRPr="00501161">
        <w:rPr>
          <w:rFonts w:ascii="Arial" w:hAnsi="Arial" w:cs="Arial"/>
        </w:rPr>
        <w:t xml:space="preserve">. </w:t>
      </w:r>
    </w:p>
    <w:p w:rsidR="00501161" w:rsidRPr="00501161" w:rsidRDefault="00501161" w:rsidP="00501161">
      <w:pPr>
        <w:ind w:left="720"/>
        <w:jc w:val="both"/>
        <w:rPr>
          <w:rFonts w:ascii="Arial" w:hAnsi="Arial" w:cs="Arial"/>
          <w:sz w:val="22"/>
          <w:szCs w:val="22"/>
        </w:rPr>
      </w:pPr>
    </w:p>
    <w:p w:rsidR="00501161" w:rsidRPr="00501161" w:rsidRDefault="00501161" w:rsidP="000C21C1">
      <w:pPr>
        <w:pStyle w:val="ListParagraph"/>
        <w:ind w:left="0"/>
        <w:jc w:val="both"/>
        <w:rPr>
          <w:rFonts w:ascii="Arial" w:hAnsi="Arial" w:cs="Arial"/>
        </w:rPr>
      </w:pPr>
      <w:r w:rsidRPr="00501161">
        <w:rPr>
          <w:rFonts w:ascii="Arial" w:hAnsi="Arial" w:cs="Arial"/>
        </w:rPr>
        <w:t>We note and agree with the analysis in the discussion paper that there may be limitations in using the standard cover regime of s 35 Insurance Contracts Act as a vehicle for these reforms, including that s 35 would not prevent insurers from modifying the standard definition, undermining the purpose of the reform to provide for one standard definition of flood, and that s 35 does not ensure consumers are effectively advised of what matters are excluded from cover.</w:t>
      </w:r>
      <w:r w:rsidRPr="00501161">
        <w:rPr>
          <w:rStyle w:val="FootnoteReference"/>
          <w:rFonts w:ascii="Arial" w:hAnsi="Arial" w:cs="Arial"/>
        </w:rPr>
        <w:footnoteReference w:id="9"/>
      </w:r>
      <w:r w:rsidRPr="00501161">
        <w:rPr>
          <w:rFonts w:ascii="Arial" w:hAnsi="Arial" w:cs="Arial"/>
        </w:rPr>
        <w:t xml:space="preserve"> The new regime should set  higher standard of disclosure than s 35.</w:t>
      </w:r>
    </w:p>
    <w:p w:rsidR="00501161" w:rsidRPr="00501161" w:rsidRDefault="00501161" w:rsidP="00501161">
      <w:pPr>
        <w:pStyle w:val="ListParagraph"/>
        <w:ind w:left="1440"/>
        <w:jc w:val="both"/>
        <w:rPr>
          <w:rFonts w:ascii="Arial" w:hAnsi="Arial" w:cs="Arial"/>
        </w:rPr>
      </w:pPr>
    </w:p>
    <w:p w:rsidR="00501161" w:rsidRPr="00501161" w:rsidRDefault="00501161" w:rsidP="000C21C1">
      <w:pPr>
        <w:pStyle w:val="ListParagraph"/>
        <w:ind w:left="0"/>
        <w:jc w:val="both"/>
        <w:rPr>
          <w:rFonts w:ascii="Arial" w:hAnsi="Arial" w:cs="Arial"/>
        </w:rPr>
      </w:pPr>
      <w:r w:rsidRPr="00501161">
        <w:rPr>
          <w:rFonts w:ascii="Arial" w:hAnsi="Arial" w:cs="Arial"/>
        </w:rPr>
        <w:t>However, the definition of flood for the purposes of standard cover should be aligned with the standard definition of flood.</w:t>
      </w:r>
    </w:p>
    <w:p w:rsidR="00501161" w:rsidRPr="00501161" w:rsidRDefault="00501161" w:rsidP="00501161">
      <w:pPr>
        <w:pStyle w:val="ListParagraph"/>
        <w:ind w:left="1440"/>
        <w:jc w:val="both"/>
        <w:rPr>
          <w:rFonts w:ascii="Arial" w:hAnsi="Arial" w:cs="Arial"/>
        </w:rPr>
      </w:pPr>
    </w:p>
    <w:p w:rsidR="00501161" w:rsidRPr="00501161" w:rsidRDefault="00501161" w:rsidP="000D0325">
      <w:pPr>
        <w:pStyle w:val="ListParagraph"/>
        <w:ind w:left="0"/>
        <w:jc w:val="both"/>
        <w:rPr>
          <w:rFonts w:ascii="Arial" w:hAnsi="Arial" w:cs="Arial"/>
          <w:i/>
        </w:rPr>
      </w:pPr>
      <w:r w:rsidRPr="00501161">
        <w:rPr>
          <w:rFonts w:ascii="Arial" w:hAnsi="Arial" w:cs="Arial"/>
          <w:i/>
        </w:rPr>
        <w:t>To what types of insurance policies should the proposed new rules apply?</w:t>
      </w:r>
    </w:p>
    <w:p w:rsidR="00501161" w:rsidRPr="00501161" w:rsidRDefault="00501161" w:rsidP="00501161">
      <w:pPr>
        <w:ind w:left="720"/>
        <w:jc w:val="both"/>
        <w:rPr>
          <w:rFonts w:ascii="Arial" w:hAnsi="Arial" w:cs="Arial"/>
          <w:sz w:val="22"/>
          <w:szCs w:val="22"/>
        </w:rPr>
      </w:pPr>
    </w:p>
    <w:p w:rsidR="00EE25FC" w:rsidRDefault="00EE25FC" w:rsidP="00EE25FC">
      <w:pPr>
        <w:pStyle w:val="ListParagraph"/>
        <w:ind w:left="0"/>
        <w:jc w:val="both"/>
        <w:rPr>
          <w:rFonts w:ascii="Arial" w:hAnsi="Arial" w:cs="Arial"/>
        </w:rPr>
      </w:pPr>
      <w:r w:rsidRPr="00501161">
        <w:rPr>
          <w:rFonts w:ascii="Arial" w:hAnsi="Arial" w:cs="Arial"/>
        </w:rPr>
        <w:t>A broader category of policy holders including body corporate/strata insurance and small business insurance would benefit from a standard definition of flood.</w:t>
      </w:r>
      <w:r>
        <w:rPr>
          <w:rFonts w:ascii="Arial" w:hAnsi="Arial" w:cs="Arial"/>
        </w:rPr>
        <w:t xml:space="preserve">  As stated above, a</w:t>
      </w:r>
      <w:r w:rsidR="00501161" w:rsidRPr="00501161">
        <w:rPr>
          <w:rFonts w:ascii="Arial" w:hAnsi="Arial" w:cs="Arial"/>
        </w:rPr>
        <w:t xml:space="preserve"> new regime proposed under the </w:t>
      </w:r>
      <w:r w:rsidR="00501161" w:rsidRPr="00501161">
        <w:rPr>
          <w:rFonts w:ascii="Arial" w:hAnsi="Arial" w:cs="Arial"/>
          <w:i/>
        </w:rPr>
        <w:t>Insurance Contracts Act</w:t>
      </w:r>
      <w:r w:rsidR="00501161" w:rsidRPr="00501161">
        <w:rPr>
          <w:rFonts w:ascii="Arial" w:hAnsi="Arial" w:cs="Arial"/>
        </w:rPr>
        <w:t xml:space="preserve"> </w:t>
      </w:r>
      <w:r>
        <w:rPr>
          <w:rFonts w:ascii="Arial" w:hAnsi="Arial" w:cs="Arial"/>
        </w:rPr>
        <w:t>for a standard definition of flood should</w:t>
      </w:r>
      <w:r w:rsidR="00501161" w:rsidRPr="00501161">
        <w:rPr>
          <w:rFonts w:ascii="Arial" w:hAnsi="Arial" w:cs="Arial"/>
        </w:rPr>
        <w:t xml:space="preserve"> align with </w:t>
      </w:r>
      <w:r>
        <w:rPr>
          <w:rFonts w:ascii="Arial" w:hAnsi="Arial" w:cs="Arial"/>
        </w:rPr>
        <w:t xml:space="preserve">but </w:t>
      </w:r>
      <w:r w:rsidR="00501161" w:rsidRPr="00501161">
        <w:rPr>
          <w:rFonts w:ascii="Arial" w:hAnsi="Arial" w:cs="Arial"/>
        </w:rPr>
        <w:t>take precedence ov</w:t>
      </w:r>
      <w:r>
        <w:rPr>
          <w:rFonts w:ascii="Arial" w:hAnsi="Arial" w:cs="Arial"/>
        </w:rPr>
        <w:t xml:space="preserve">er existing provisions of s 35, thus they can be drafted </w:t>
      </w:r>
      <w:r w:rsidR="00501161" w:rsidRPr="00501161">
        <w:rPr>
          <w:rFonts w:ascii="Arial" w:hAnsi="Arial" w:cs="Arial"/>
        </w:rPr>
        <w:t xml:space="preserve">to </w:t>
      </w:r>
      <w:r>
        <w:rPr>
          <w:rFonts w:ascii="Arial" w:hAnsi="Arial" w:cs="Arial"/>
        </w:rPr>
        <w:t xml:space="preserve">cover </w:t>
      </w:r>
      <w:r w:rsidR="00501161" w:rsidRPr="00501161">
        <w:rPr>
          <w:rFonts w:ascii="Arial" w:hAnsi="Arial" w:cs="Arial"/>
        </w:rPr>
        <w:t xml:space="preserve">a broader category </w:t>
      </w:r>
      <w:r>
        <w:rPr>
          <w:rFonts w:ascii="Arial" w:hAnsi="Arial" w:cs="Arial"/>
        </w:rPr>
        <w:t xml:space="preserve">of insurance policies </w:t>
      </w:r>
      <w:r w:rsidR="00501161" w:rsidRPr="00501161">
        <w:rPr>
          <w:rFonts w:ascii="Arial" w:hAnsi="Arial" w:cs="Arial"/>
        </w:rPr>
        <w:t>than home and contents policies</w:t>
      </w:r>
      <w:r>
        <w:rPr>
          <w:rFonts w:ascii="Arial" w:hAnsi="Arial" w:cs="Arial"/>
        </w:rPr>
        <w:t>.</w:t>
      </w:r>
    </w:p>
    <w:p w:rsidR="00EE25FC" w:rsidRDefault="00EE25FC" w:rsidP="00EE25FC">
      <w:pPr>
        <w:pStyle w:val="ListParagraph"/>
        <w:ind w:left="0"/>
        <w:jc w:val="both"/>
        <w:rPr>
          <w:rFonts w:ascii="Arial" w:hAnsi="Arial" w:cs="Arial"/>
        </w:rPr>
      </w:pPr>
    </w:p>
    <w:p w:rsidR="00501161" w:rsidRPr="00501161" w:rsidRDefault="00406A51" w:rsidP="000C21C1">
      <w:pPr>
        <w:pStyle w:val="ListParagraph"/>
        <w:ind w:left="0"/>
        <w:jc w:val="both"/>
        <w:rPr>
          <w:rFonts w:ascii="Arial" w:hAnsi="Arial" w:cs="Arial"/>
        </w:rPr>
      </w:pPr>
      <w:r>
        <w:rPr>
          <w:rFonts w:ascii="Arial" w:hAnsi="Arial" w:cs="Arial"/>
        </w:rPr>
        <w:t>I</w:t>
      </w:r>
      <w:r w:rsidRPr="00501161">
        <w:rPr>
          <w:rFonts w:ascii="Arial" w:hAnsi="Arial" w:cs="Arial"/>
        </w:rPr>
        <w:t>t is our casework experience from the Q</w:t>
      </w:r>
      <w:r>
        <w:rPr>
          <w:rFonts w:ascii="Arial" w:hAnsi="Arial" w:cs="Arial"/>
        </w:rPr>
        <w:t>ueens</w:t>
      </w:r>
      <w:r w:rsidRPr="00501161">
        <w:rPr>
          <w:rFonts w:ascii="Arial" w:hAnsi="Arial" w:cs="Arial"/>
        </w:rPr>
        <w:t>l</w:t>
      </w:r>
      <w:r>
        <w:rPr>
          <w:rFonts w:ascii="Arial" w:hAnsi="Arial" w:cs="Arial"/>
        </w:rPr>
        <w:t>an</w:t>
      </w:r>
      <w:r w:rsidRPr="00501161">
        <w:rPr>
          <w:rFonts w:ascii="Arial" w:hAnsi="Arial" w:cs="Arial"/>
        </w:rPr>
        <w:t xml:space="preserve">d floods that </w:t>
      </w:r>
      <w:r>
        <w:rPr>
          <w:rFonts w:ascii="Arial" w:hAnsi="Arial" w:cs="Arial"/>
        </w:rPr>
        <w:t>a great many people living in body corporate/strata units were not covered for flood by the b</w:t>
      </w:r>
      <w:r w:rsidR="00EE25FC">
        <w:rPr>
          <w:rFonts w:ascii="Arial" w:hAnsi="Arial" w:cs="Arial"/>
        </w:rPr>
        <w:t xml:space="preserve">ody corporate/strata insurance.  </w:t>
      </w:r>
      <w:r w:rsidR="00501161" w:rsidRPr="00501161">
        <w:rPr>
          <w:rFonts w:ascii="Arial" w:hAnsi="Arial" w:cs="Arial"/>
        </w:rPr>
        <w:t>As noted by the paper, this proposal would not force insurers to offer flood cover to bodies corporate or small businesses, but it would help these consumers to understand the cover offered by their insurance policy and to consider what risks they need cover for.</w:t>
      </w:r>
      <w:r w:rsidR="000C21C1">
        <w:rPr>
          <w:rFonts w:ascii="Arial" w:hAnsi="Arial" w:cs="Arial"/>
        </w:rPr>
        <w:t xml:space="preserve">  </w:t>
      </w:r>
    </w:p>
    <w:p w:rsidR="00501161" w:rsidRPr="00501161" w:rsidRDefault="00501161" w:rsidP="00501161">
      <w:pPr>
        <w:pStyle w:val="ListParagraph"/>
        <w:jc w:val="both"/>
        <w:rPr>
          <w:rFonts w:ascii="Arial" w:hAnsi="Arial" w:cs="Arial"/>
        </w:rPr>
      </w:pPr>
    </w:p>
    <w:p w:rsidR="00501161" w:rsidRPr="00501161" w:rsidRDefault="00501161" w:rsidP="00501161">
      <w:pPr>
        <w:jc w:val="both"/>
        <w:rPr>
          <w:rFonts w:ascii="Arial" w:hAnsi="Arial" w:cs="Arial"/>
          <w:i/>
          <w:sz w:val="22"/>
          <w:szCs w:val="22"/>
        </w:rPr>
      </w:pPr>
      <w:r w:rsidRPr="00501161">
        <w:rPr>
          <w:rFonts w:ascii="Arial" w:hAnsi="Arial" w:cs="Arial"/>
          <w:i/>
          <w:sz w:val="22"/>
          <w:szCs w:val="22"/>
        </w:rPr>
        <w:t>Are there cases of consumer confusion with other categories of inundation risk?</w:t>
      </w:r>
    </w:p>
    <w:p w:rsidR="00501161" w:rsidRPr="00501161" w:rsidRDefault="00501161" w:rsidP="00501161">
      <w:pPr>
        <w:jc w:val="both"/>
        <w:rPr>
          <w:rFonts w:ascii="Arial" w:hAnsi="Arial" w:cs="Arial"/>
          <w:sz w:val="22"/>
          <w:szCs w:val="22"/>
        </w:rPr>
      </w:pPr>
    </w:p>
    <w:p w:rsidR="00501161" w:rsidRPr="00501161" w:rsidRDefault="00501161" w:rsidP="00406A51">
      <w:pPr>
        <w:pStyle w:val="ListParagraph"/>
        <w:ind w:left="0"/>
        <w:jc w:val="both"/>
        <w:rPr>
          <w:rFonts w:ascii="Arial" w:hAnsi="Arial" w:cs="Arial"/>
        </w:rPr>
      </w:pPr>
      <w:r w:rsidRPr="00501161">
        <w:rPr>
          <w:rFonts w:ascii="Arial" w:hAnsi="Arial" w:cs="Arial"/>
        </w:rPr>
        <w:t xml:space="preserve">Yes.  Some policies on the market contain unfair or unusual definitions of storm or flash flood as a basis for limiting cover, so providing a standard definition for flood may not protect such consumers from unfair or unusual definitions for other categories of inundation. For example, one policy we have seen confuses rainwater and runoff with flood.  Another turns rainwater into flood the minute the rainwater hits the ground. </w:t>
      </w:r>
    </w:p>
    <w:p w:rsidR="00501161" w:rsidRPr="00501161" w:rsidRDefault="00501161" w:rsidP="00406A51">
      <w:pPr>
        <w:pStyle w:val="ListParagraph"/>
        <w:ind w:left="0"/>
        <w:jc w:val="both"/>
        <w:rPr>
          <w:rFonts w:ascii="Arial" w:hAnsi="Arial" w:cs="Arial"/>
        </w:rPr>
      </w:pPr>
    </w:p>
    <w:p w:rsidR="00501161" w:rsidRPr="00501161" w:rsidRDefault="00501161" w:rsidP="00406A51">
      <w:pPr>
        <w:pStyle w:val="ListParagraph"/>
        <w:ind w:left="0"/>
        <w:jc w:val="both"/>
        <w:rPr>
          <w:rFonts w:ascii="Arial" w:hAnsi="Arial" w:cs="Arial"/>
        </w:rPr>
      </w:pPr>
      <w:r w:rsidRPr="00501161">
        <w:rPr>
          <w:rFonts w:ascii="Arial" w:hAnsi="Arial" w:cs="Arial"/>
        </w:rPr>
        <w:t>We are aware of cases in the Qld floods, where consumers have had their claims denied or reduced dramatically based on unusual definitions of water inundation.</w:t>
      </w:r>
    </w:p>
    <w:p w:rsidR="00501161" w:rsidRPr="00501161" w:rsidRDefault="00501161" w:rsidP="00406A51">
      <w:pPr>
        <w:pStyle w:val="ListParagraph"/>
        <w:ind w:left="0"/>
        <w:jc w:val="both"/>
        <w:rPr>
          <w:rFonts w:ascii="Arial" w:hAnsi="Arial" w:cs="Arial"/>
        </w:rPr>
      </w:pPr>
    </w:p>
    <w:p w:rsidR="00501161" w:rsidRPr="00501161" w:rsidRDefault="00501161" w:rsidP="00406A51">
      <w:pPr>
        <w:pStyle w:val="ListParagraph"/>
        <w:ind w:left="0"/>
        <w:jc w:val="both"/>
        <w:rPr>
          <w:rFonts w:ascii="Arial" w:hAnsi="Arial" w:cs="Arial"/>
        </w:rPr>
      </w:pPr>
      <w:r w:rsidRPr="00501161">
        <w:rPr>
          <w:rFonts w:ascii="Arial" w:hAnsi="Arial" w:cs="Arial"/>
        </w:rPr>
        <w:t xml:space="preserve">Company A, for example, excludes cover for flood, and then caps cover for flash flood and storm water run off at 50% of the value of the policy. The policy states that it covers damage for storm but not for rain after it hits the ground. </w:t>
      </w:r>
    </w:p>
    <w:p w:rsidR="00501161" w:rsidRPr="00501161" w:rsidRDefault="00501161" w:rsidP="00406A51">
      <w:pPr>
        <w:pStyle w:val="ListParagraph"/>
        <w:ind w:left="0"/>
        <w:jc w:val="both"/>
        <w:rPr>
          <w:rFonts w:ascii="Arial" w:hAnsi="Arial" w:cs="Arial"/>
        </w:rPr>
      </w:pPr>
    </w:p>
    <w:p w:rsidR="00501161" w:rsidRPr="00501161" w:rsidRDefault="00501161" w:rsidP="00501161">
      <w:pPr>
        <w:jc w:val="both"/>
        <w:rPr>
          <w:rFonts w:ascii="Arial" w:hAnsi="Arial" w:cs="Arial"/>
          <w:sz w:val="22"/>
          <w:szCs w:val="22"/>
        </w:rPr>
      </w:pPr>
      <w:r w:rsidRPr="00501161">
        <w:rPr>
          <w:rFonts w:ascii="Arial" w:hAnsi="Arial" w:cs="Arial"/>
          <w:i/>
          <w:sz w:val="22"/>
          <w:szCs w:val="22"/>
        </w:rPr>
        <w:lastRenderedPageBreak/>
        <w:t>Are there possible advantages of standardising a broader spectrum of inundation risk?</w:t>
      </w:r>
    </w:p>
    <w:p w:rsidR="0091504C" w:rsidRDefault="0091504C" w:rsidP="0091504C">
      <w:pPr>
        <w:pStyle w:val="ListParagraph"/>
        <w:ind w:left="0"/>
        <w:jc w:val="both"/>
        <w:rPr>
          <w:rFonts w:ascii="Arial" w:hAnsi="Arial" w:cs="Arial"/>
        </w:rPr>
      </w:pPr>
    </w:p>
    <w:p w:rsidR="0091504C" w:rsidRDefault="00501161" w:rsidP="0091504C">
      <w:pPr>
        <w:pStyle w:val="ListParagraph"/>
        <w:ind w:left="0"/>
        <w:jc w:val="both"/>
        <w:rPr>
          <w:rFonts w:ascii="Arial" w:hAnsi="Arial" w:cs="Arial"/>
        </w:rPr>
      </w:pPr>
      <w:r w:rsidRPr="00501161">
        <w:rPr>
          <w:rFonts w:ascii="Arial" w:hAnsi="Arial" w:cs="Arial"/>
        </w:rPr>
        <w:t>We do not at this point have a firm position on whether standard definitions for other categories of inundation risk are required.  However</w:t>
      </w:r>
      <w:r w:rsidR="0091504C">
        <w:rPr>
          <w:rFonts w:ascii="Arial" w:hAnsi="Arial" w:cs="Arial"/>
        </w:rPr>
        <w:t>,</w:t>
      </w:r>
      <w:r w:rsidRPr="00501161">
        <w:rPr>
          <w:rFonts w:ascii="Arial" w:hAnsi="Arial" w:cs="Arial"/>
        </w:rPr>
        <w:t xml:space="preserve"> it is clear from the example immediately above that confusing and unfai</w:t>
      </w:r>
      <w:r w:rsidR="0091504C">
        <w:rPr>
          <w:rFonts w:ascii="Arial" w:hAnsi="Arial" w:cs="Arial"/>
        </w:rPr>
        <w:t>r definitions currently exist.</w:t>
      </w:r>
    </w:p>
    <w:p w:rsidR="0091504C" w:rsidRDefault="0091504C" w:rsidP="0091504C">
      <w:pPr>
        <w:pStyle w:val="ListParagraph"/>
        <w:ind w:left="0"/>
        <w:jc w:val="both"/>
        <w:rPr>
          <w:rFonts w:ascii="Arial" w:hAnsi="Arial" w:cs="Arial"/>
        </w:rPr>
      </w:pPr>
    </w:p>
    <w:p w:rsidR="00501161" w:rsidRPr="00501161" w:rsidRDefault="0091504C" w:rsidP="0091504C">
      <w:pPr>
        <w:pStyle w:val="ListParagraph"/>
        <w:ind w:left="0"/>
        <w:jc w:val="both"/>
        <w:rPr>
          <w:rFonts w:ascii="Arial" w:hAnsi="Arial" w:cs="Arial"/>
        </w:rPr>
      </w:pPr>
      <w:r>
        <w:rPr>
          <w:rFonts w:ascii="Arial" w:hAnsi="Arial" w:cs="Arial"/>
        </w:rPr>
        <w:t>If</w:t>
      </w:r>
      <w:r w:rsidR="00501161" w:rsidRPr="00501161">
        <w:rPr>
          <w:rFonts w:ascii="Arial" w:hAnsi="Arial" w:cs="Arial"/>
        </w:rPr>
        <w:t xml:space="preserve"> consumers </w:t>
      </w:r>
      <w:r>
        <w:rPr>
          <w:rFonts w:ascii="Arial" w:hAnsi="Arial" w:cs="Arial"/>
        </w:rPr>
        <w:t>were</w:t>
      </w:r>
      <w:r w:rsidR="00501161" w:rsidRPr="00501161">
        <w:rPr>
          <w:rFonts w:ascii="Arial" w:hAnsi="Arial" w:cs="Arial"/>
        </w:rPr>
        <w:t xml:space="preserve"> afforded the protection of unfair </w:t>
      </w:r>
      <w:r>
        <w:rPr>
          <w:rFonts w:ascii="Arial" w:hAnsi="Arial" w:cs="Arial"/>
        </w:rPr>
        <w:t xml:space="preserve">contract </w:t>
      </w:r>
      <w:r w:rsidR="00501161" w:rsidRPr="00501161">
        <w:rPr>
          <w:rFonts w:ascii="Arial" w:hAnsi="Arial" w:cs="Arial"/>
        </w:rPr>
        <w:t>terms regulation for insurance at the same level of protection in the Australian Consumer Law</w:t>
      </w:r>
      <w:r>
        <w:rPr>
          <w:rFonts w:ascii="Arial" w:hAnsi="Arial" w:cs="Arial"/>
        </w:rPr>
        <w:t>, this would help to address unfairness in the drafting of terms relating to other forms of inundation risk, without the need to prescribe standard definitions. This is the solution we recommend at this stage.</w:t>
      </w:r>
    </w:p>
    <w:p w:rsidR="00501161" w:rsidRPr="00501161" w:rsidRDefault="00501161" w:rsidP="00501161">
      <w:pPr>
        <w:ind w:left="720"/>
        <w:jc w:val="both"/>
        <w:rPr>
          <w:rFonts w:ascii="Arial" w:hAnsi="Arial" w:cs="Arial"/>
          <w:sz w:val="22"/>
          <w:szCs w:val="22"/>
        </w:rPr>
      </w:pPr>
    </w:p>
    <w:p w:rsidR="00BC2F81" w:rsidRPr="000D0325" w:rsidRDefault="00E41739" w:rsidP="00E129F3">
      <w:pPr>
        <w:pStyle w:val="Default"/>
        <w:jc w:val="both"/>
        <w:rPr>
          <w:b/>
          <w:sz w:val="28"/>
          <w:szCs w:val="28"/>
        </w:rPr>
      </w:pPr>
      <w:r w:rsidRPr="000D0325">
        <w:rPr>
          <w:b/>
          <w:bCs/>
          <w:sz w:val="28"/>
          <w:szCs w:val="28"/>
          <w:lang w:val="en-US" w:eastAsia="en-US"/>
        </w:rPr>
        <w:t>Key Facts Statement</w:t>
      </w:r>
    </w:p>
    <w:p w:rsidR="00671923" w:rsidRPr="00501161" w:rsidRDefault="00671923" w:rsidP="00443F58">
      <w:pPr>
        <w:spacing w:line="276" w:lineRule="auto"/>
        <w:ind w:right="-96"/>
        <w:jc w:val="both"/>
        <w:rPr>
          <w:rFonts w:ascii="Arial" w:hAnsi="Arial" w:cs="Arial"/>
          <w:sz w:val="22"/>
          <w:szCs w:val="22"/>
        </w:rPr>
      </w:pPr>
    </w:p>
    <w:p w:rsidR="00BC2F81" w:rsidRPr="00501161" w:rsidRDefault="00262E2F" w:rsidP="00443F58">
      <w:pPr>
        <w:spacing w:line="276" w:lineRule="auto"/>
        <w:ind w:right="-96"/>
        <w:jc w:val="both"/>
        <w:rPr>
          <w:rFonts w:ascii="Arial" w:hAnsi="Arial" w:cs="Arial"/>
          <w:i/>
          <w:sz w:val="22"/>
          <w:szCs w:val="22"/>
        </w:rPr>
      </w:pPr>
      <w:r w:rsidRPr="00501161">
        <w:rPr>
          <w:rFonts w:ascii="Arial" w:hAnsi="Arial" w:cs="Arial"/>
          <w:i/>
          <w:sz w:val="22"/>
          <w:szCs w:val="22"/>
        </w:rPr>
        <w:t>Introductory remarks</w:t>
      </w:r>
    </w:p>
    <w:p w:rsidR="007910D6" w:rsidRDefault="007910D6" w:rsidP="00443F58">
      <w:pPr>
        <w:spacing w:line="276" w:lineRule="auto"/>
        <w:ind w:right="-96"/>
        <w:jc w:val="both"/>
        <w:rPr>
          <w:rFonts w:ascii="Arial" w:hAnsi="Arial" w:cs="Arial"/>
          <w:sz w:val="22"/>
          <w:szCs w:val="22"/>
        </w:rPr>
      </w:pPr>
    </w:p>
    <w:p w:rsidR="00C46AA7" w:rsidRPr="00501161" w:rsidRDefault="00C66842" w:rsidP="00443F58">
      <w:pPr>
        <w:spacing w:line="276" w:lineRule="auto"/>
        <w:ind w:right="-96"/>
        <w:jc w:val="both"/>
        <w:rPr>
          <w:rFonts w:ascii="Arial" w:hAnsi="Arial" w:cs="Arial"/>
          <w:sz w:val="22"/>
          <w:szCs w:val="22"/>
        </w:rPr>
      </w:pPr>
      <w:r w:rsidRPr="00501161">
        <w:rPr>
          <w:rFonts w:ascii="Arial" w:hAnsi="Arial" w:cs="Arial"/>
          <w:sz w:val="22"/>
          <w:szCs w:val="22"/>
        </w:rPr>
        <w:t xml:space="preserve">We support the introduction of key facts statements for </w:t>
      </w:r>
      <w:r w:rsidR="00E03CA8">
        <w:rPr>
          <w:rFonts w:ascii="Arial" w:hAnsi="Arial" w:cs="Arial"/>
          <w:sz w:val="22"/>
          <w:szCs w:val="22"/>
        </w:rPr>
        <w:t>three</w:t>
      </w:r>
      <w:r w:rsidR="00E03CA8" w:rsidRPr="00501161">
        <w:rPr>
          <w:rFonts w:ascii="Arial" w:hAnsi="Arial" w:cs="Arial"/>
          <w:sz w:val="22"/>
          <w:szCs w:val="22"/>
        </w:rPr>
        <w:t xml:space="preserve"> </w:t>
      </w:r>
      <w:r w:rsidR="00C46AA7" w:rsidRPr="00501161">
        <w:rPr>
          <w:rFonts w:ascii="Arial" w:hAnsi="Arial" w:cs="Arial"/>
          <w:sz w:val="22"/>
          <w:szCs w:val="22"/>
        </w:rPr>
        <w:t>main reasons:</w:t>
      </w:r>
    </w:p>
    <w:p w:rsidR="00262E2F" w:rsidRDefault="0026700A" w:rsidP="00C46AA7">
      <w:pPr>
        <w:pStyle w:val="ListParagraph"/>
        <w:numPr>
          <w:ilvl w:val="0"/>
          <w:numId w:val="19"/>
        </w:numPr>
        <w:spacing w:line="276" w:lineRule="auto"/>
        <w:ind w:right="-96"/>
        <w:jc w:val="both"/>
        <w:rPr>
          <w:rFonts w:ascii="Arial" w:hAnsi="Arial" w:cs="Arial"/>
        </w:rPr>
      </w:pPr>
      <w:r w:rsidRPr="00501161">
        <w:rPr>
          <w:rFonts w:ascii="Arial" w:hAnsi="Arial" w:cs="Arial"/>
          <w:b/>
        </w:rPr>
        <w:t>Comprehension:</w:t>
      </w:r>
      <w:r w:rsidRPr="00501161">
        <w:rPr>
          <w:rFonts w:ascii="Arial" w:hAnsi="Arial" w:cs="Arial"/>
        </w:rPr>
        <w:t xml:space="preserve"> key facts statements</w:t>
      </w:r>
      <w:r w:rsidR="00C46AA7" w:rsidRPr="00501161">
        <w:rPr>
          <w:rFonts w:ascii="Arial" w:hAnsi="Arial" w:cs="Arial"/>
        </w:rPr>
        <w:t xml:space="preserve"> will give consumers a better understanding of what their policy covers and what it does</w:t>
      </w:r>
      <w:r w:rsidR="005909D1">
        <w:rPr>
          <w:rFonts w:ascii="Arial" w:hAnsi="Arial" w:cs="Arial"/>
        </w:rPr>
        <w:t xml:space="preserve"> </w:t>
      </w:r>
      <w:r w:rsidR="00C46AA7" w:rsidRPr="00501161">
        <w:rPr>
          <w:rFonts w:ascii="Arial" w:hAnsi="Arial" w:cs="Arial"/>
        </w:rPr>
        <w:t>n</w:t>
      </w:r>
      <w:r w:rsidR="005909D1">
        <w:rPr>
          <w:rFonts w:ascii="Arial" w:hAnsi="Arial" w:cs="Arial"/>
        </w:rPr>
        <w:t>o</w:t>
      </w:r>
      <w:r w:rsidR="00C46AA7" w:rsidRPr="00501161">
        <w:rPr>
          <w:rFonts w:ascii="Arial" w:hAnsi="Arial" w:cs="Arial"/>
        </w:rPr>
        <w:t>t</w:t>
      </w:r>
      <w:r w:rsidRPr="00501161">
        <w:rPr>
          <w:rFonts w:ascii="Arial" w:hAnsi="Arial" w:cs="Arial"/>
        </w:rPr>
        <w:t>, accepting the reality that very few people read and understand their PDS</w:t>
      </w:r>
      <w:r w:rsidR="005909D1">
        <w:rPr>
          <w:rFonts w:ascii="Arial" w:hAnsi="Arial" w:cs="Arial"/>
        </w:rPr>
        <w:t>;</w:t>
      </w:r>
    </w:p>
    <w:p w:rsidR="0026700A" w:rsidRDefault="0026700A" w:rsidP="00C46AA7">
      <w:pPr>
        <w:pStyle w:val="ListParagraph"/>
        <w:numPr>
          <w:ilvl w:val="0"/>
          <w:numId w:val="19"/>
        </w:numPr>
        <w:spacing w:line="276" w:lineRule="auto"/>
        <w:ind w:right="-96"/>
        <w:jc w:val="both"/>
        <w:rPr>
          <w:rFonts w:ascii="Arial" w:hAnsi="Arial" w:cs="Arial"/>
        </w:rPr>
      </w:pPr>
      <w:r w:rsidRPr="00501161">
        <w:rPr>
          <w:rFonts w:ascii="Arial" w:hAnsi="Arial" w:cs="Arial"/>
          <w:b/>
        </w:rPr>
        <w:t>Comparison:</w:t>
      </w:r>
      <w:r w:rsidRPr="00501161">
        <w:rPr>
          <w:rFonts w:ascii="Arial" w:hAnsi="Arial" w:cs="Arial"/>
        </w:rPr>
        <w:t xml:space="preserve"> key facts statements will help consumers shop around for insurance by allowing easy comparison between competing p</w:t>
      </w:r>
      <w:r w:rsidR="005909D1">
        <w:rPr>
          <w:rFonts w:ascii="Arial" w:hAnsi="Arial" w:cs="Arial"/>
        </w:rPr>
        <w:t>olicies, improving competition; and</w:t>
      </w:r>
    </w:p>
    <w:p w:rsidR="005909D1" w:rsidRPr="005909D1" w:rsidRDefault="005909D1" w:rsidP="005909D1">
      <w:pPr>
        <w:pStyle w:val="ListParagraph"/>
        <w:numPr>
          <w:ilvl w:val="0"/>
          <w:numId w:val="19"/>
        </w:numPr>
        <w:spacing w:line="276" w:lineRule="auto"/>
        <w:ind w:right="-96"/>
        <w:jc w:val="both"/>
        <w:rPr>
          <w:rFonts w:ascii="Arial" w:hAnsi="Arial" w:cs="Arial"/>
        </w:rPr>
      </w:pPr>
      <w:r>
        <w:rPr>
          <w:rFonts w:ascii="Arial" w:hAnsi="Arial" w:cs="Arial"/>
          <w:b/>
        </w:rPr>
        <w:t>Product safety warning:</w:t>
      </w:r>
      <w:r>
        <w:rPr>
          <w:rFonts w:ascii="Arial" w:hAnsi="Arial" w:cs="Arial"/>
        </w:rPr>
        <w:t xml:space="preserve"> </w:t>
      </w:r>
      <w:r w:rsidR="00257095">
        <w:rPr>
          <w:rFonts w:ascii="Arial" w:hAnsi="Arial" w:cs="Arial"/>
        </w:rPr>
        <w:t xml:space="preserve">key facts statements </w:t>
      </w:r>
      <w:r w:rsidR="008A0220">
        <w:rPr>
          <w:rFonts w:ascii="Arial" w:hAnsi="Arial" w:cs="Arial"/>
        </w:rPr>
        <w:t>will</w:t>
      </w:r>
      <w:r w:rsidR="00257095">
        <w:rPr>
          <w:rFonts w:ascii="Arial" w:hAnsi="Arial" w:cs="Arial"/>
        </w:rPr>
        <w:t xml:space="preserve"> give consumers </w:t>
      </w:r>
      <w:r w:rsidR="008A0220">
        <w:rPr>
          <w:rFonts w:ascii="Arial" w:hAnsi="Arial" w:cs="Arial"/>
        </w:rPr>
        <w:t>important</w:t>
      </w:r>
      <w:r w:rsidR="00257095">
        <w:rPr>
          <w:rFonts w:ascii="Arial" w:hAnsi="Arial" w:cs="Arial"/>
        </w:rPr>
        <w:t xml:space="preserve"> </w:t>
      </w:r>
      <w:r w:rsidR="008A0220">
        <w:rPr>
          <w:rFonts w:ascii="Arial" w:hAnsi="Arial" w:cs="Arial"/>
        </w:rPr>
        <w:t>information</w:t>
      </w:r>
      <w:r w:rsidR="00257095">
        <w:rPr>
          <w:rFonts w:ascii="Arial" w:hAnsi="Arial" w:cs="Arial"/>
        </w:rPr>
        <w:t xml:space="preserve"> relating to under-insurance</w:t>
      </w:r>
      <w:r w:rsidR="008A0220">
        <w:rPr>
          <w:rFonts w:ascii="Arial" w:hAnsi="Arial" w:cs="Arial"/>
        </w:rPr>
        <w:t>, which</w:t>
      </w:r>
      <w:r w:rsidRPr="00287265">
        <w:rPr>
          <w:rFonts w:ascii="Arial" w:hAnsi="Arial" w:cs="Arial"/>
        </w:rPr>
        <w:t xml:space="preserve"> is a </w:t>
      </w:r>
      <w:r>
        <w:rPr>
          <w:rFonts w:ascii="Arial" w:hAnsi="Arial" w:cs="Arial"/>
        </w:rPr>
        <w:t xml:space="preserve">serious and endemic problem in Australia – consumers must </w:t>
      </w:r>
      <w:r w:rsidR="007E4541">
        <w:rPr>
          <w:rFonts w:ascii="Arial" w:hAnsi="Arial" w:cs="Arial"/>
        </w:rPr>
        <w:t>be warned as to</w:t>
      </w:r>
      <w:r>
        <w:rPr>
          <w:rFonts w:ascii="Arial" w:hAnsi="Arial" w:cs="Arial"/>
        </w:rPr>
        <w:t xml:space="preserve"> </w:t>
      </w:r>
      <w:r w:rsidR="008A0220">
        <w:rPr>
          <w:rFonts w:ascii="Arial" w:hAnsi="Arial" w:cs="Arial"/>
        </w:rPr>
        <w:t xml:space="preserve">whether a home building policy is sum insured or total replacement, and </w:t>
      </w:r>
      <w:r>
        <w:rPr>
          <w:rFonts w:ascii="Arial" w:hAnsi="Arial" w:cs="Arial"/>
        </w:rPr>
        <w:t xml:space="preserve">that purchasing a sum insured policy comes with considerable risk of not </w:t>
      </w:r>
      <w:r w:rsidR="008A0220">
        <w:rPr>
          <w:rFonts w:ascii="Arial" w:hAnsi="Arial" w:cs="Arial"/>
        </w:rPr>
        <w:t>having</w:t>
      </w:r>
      <w:r>
        <w:rPr>
          <w:rFonts w:ascii="Arial" w:hAnsi="Arial" w:cs="Arial"/>
        </w:rPr>
        <w:t xml:space="preserve"> sufficient cover to indemnify for loss.</w:t>
      </w:r>
    </w:p>
    <w:p w:rsidR="00C46AA7" w:rsidRPr="00501161" w:rsidRDefault="00C46AA7" w:rsidP="00443F58">
      <w:pPr>
        <w:spacing w:line="276" w:lineRule="auto"/>
        <w:ind w:right="-96"/>
        <w:jc w:val="both"/>
        <w:rPr>
          <w:rFonts w:ascii="Arial" w:hAnsi="Arial" w:cs="Arial"/>
          <w:sz w:val="22"/>
          <w:szCs w:val="22"/>
        </w:rPr>
      </w:pPr>
    </w:p>
    <w:p w:rsidR="00C46AA7" w:rsidRPr="00501161" w:rsidRDefault="0026700A" w:rsidP="00443F58">
      <w:pPr>
        <w:spacing w:line="276" w:lineRule="auto"/>
        <w:ind w:right="-96"/>
        <w:jc w:val="both"/>
        <w:rPr>
          <w:rFonts w:ascii="Arial" w:hAnsi="Arial" w:cs="Arial"/>
          <w:sz w:val="22"/>
          <w:szCs w:val="22"/>
        </w:rPr>
      </w:pPr>
      <w:r w:rsidRPr="00501161">
        <w:rPr>
          <w:rFonts w:ascii="Arial" w:hAnsi="Arial" w:cs="Arial"/>
          <w:sz w:val="22"/>
          <w:szCs w:val="22"/>
        </w:rPr>
        <w:t>Our suggestions below s</w:t>
      </w:r>
      <w:r w:rsidR="007E4541">
        <w:rPr>
          <w:rFonts w:ascii="Arial" w:hAnsi="Arial" w:cs="Arial"/>
          <w:sz w:val="22"/>
          <w:szCs w:val="22"/>
        </w:rPr>
        <w:t>hould be seen in light of these</w:t>
      </w:r>
      <w:r w:rsidRPr="00501161">
        <w:rPr>
          <w:rFonts w:ascii="Arial" w:hAnsi="Arial" w:cs="Arial"/>
          <w:sz w:val="22"/>
          <w:szCs w:val="22"/>
        </w:rPr>
        <w:t xml:space="preserve"> objectives.</w:t>
      </w:r>
    </w:p>
    <w:p w:rsidR="0026700A" w:rsidRPr="00501161" w:rsidRDefault="0026700A" w:rsidP="00443F58">
      <w:pPr>
        <w:spacing w:line="276" w:lineRule="auto"/>
        <w:ind w:right="-96"/>
        <w:jc w:val="both"/>
        <w:rPr>
          <w:rFonts w:ascii="Arial" w:hAnsi="Arial" w:cs="Arial"/>
          <w:sz w:val="22"/>
          <w:szCs w:val="22"/>
        </w:rPr>
      </w:pPr>
    </w:p>
    <w:p w:rsidR="000C2440" w:rsidRPr="00501161" w:rsidRDefault="0026700A" w:rsidP="00443F58">
      <w:pPr>
        <w:spacing w:line="276" w:lineRule="auto"/>
        <w:ind w:right="-96"/>
        <w:jc w:val="both"/>
        <w:rPr>
          <w:rFonts w:ascii="Arial" w:hAnsi="Arial" w:cs="Arial"/>
          <w:sz w:val="22"/>
          <w:szCs w:val="22"/>
        </w:rPr>
      </w:pPr>
      <w:r w:rsidRPr="00501161">
        <w:rPr>
          <w:rFonts w:ascii="Arial" w:hAnsi="Arial" w:cs="Arial"/>
          <w:sz w:val="22"/>
          <w:szCs w:val="22"/>
        </w:rPr>
        <w:t xml:space="preserve">We agree with the sentiment in the discussion paper that key </w:t>
      </w:r>
      <w:r w:rsidR="00C66842" w:rsidRPr="00501161">
        <w:rPr>
          <w:rFonts w:ascii="Arial" w:hAnsi="Arial" w:cs="Arial"/>
          <w:sz w:val="22"/>
          <w:szCs w:val="22"/>
        </w:rPr>
        <w:t xml:space="preserve">facts statements should not </w:t>
      </w:r>
      <w:r w:rsidR="004F24FD" w:rsidRPr="00501161">
        <w:rPr>
          <w:rFonts w:ascii="Arial" w:hAnsi="Arial" w:cs="Arial"/>
          <w:sz w:val="22"/>
          <w:szCs w:val="22"/>
        </w:rPr>
        <w:t xml:space="preserve">be a substitute for </w:t>
      </w:r>
      <w:r w:rsidR="00C66842" w:rsidRPr="00501161">
        <w:rPr>
          <w:rFonts w:ascii="Arial" w:hAnsi="Arial" w:cs="Arial"/>
          <w:sz w:val="22"/>
          <w:szCs w:val="22"/>
        </w:rPr>
        <w:t>Product Disclosure Statement</w:t>
      </w:r>
      <w:r w:rsidR="00C7046B" w:rsidRPr="00501161">
        <w:rPr>
          <w:rFonts w:ascii="Arial" w:hAnsi="Arial" w:cs="Arial"/>
          <w:sz w:val="22"/>
          <w:szCs w:val="22"/>
        </w:rPr>
        <w:t>s</w:t>
      </w:r>
      <w:r w:rsidR="00C66842" w:rsidRPr="00501161">
        <w:rPr>
          <w:rFonts w:ascii="Arial" w:hAnsi="Arial" w:cs="Arial"/>
          <w:sz w:val="22"/>
          <w:szCs w:val="22"/>
        </w:rPr>
        <w:t xml:space="preserve"> (</w:t>
      </w:r>
      <w:r w:rsidR="004F24FD" w:rsidRPr="00501161">
        <w:rPr>
          <w:rFonts w:ascii="Arial" w:hAnsi="Arial" w:cs="Arial"/>
          <w:sz w:val="22"/>
          <w:szCs w:val="22"/>
        </w:rPr>
        <w:t>PDS</w:t>
      </w:r>
      <w:r w:rsidR="00C66842" w:rsidRPr="00501161">
        <w:rPr>
          <w:rFonts w:ascii="Arial" w:hAnsi="Arial" w:cs="Arial"/>
          <w:sz w:val="22"/>
          <w:szCs w:val="22"/>
        </w:rPr>
        <w:t>)</w:t>
      </w:r>
      <w:r w:rsidR="004F24FD" w:rsidRPr="00501161">
        <w:rPr>
          <w:rFonts w:ascii="Arial" w:hAnsi="Arial" w:cs="Arial"/>
          <w:sz w:val="22"/>
          <w:szCs w:val="22"/>
        </w:rPr>
        <w:t xml:space="preserve"> (para</w:t>
      </w:r>
      <w:r w:rsidR="00A22C29" w:rsidRPr="00501161">
        <w:rPr>
          <w:rFonts w:ascii="Arial" w:hAnsi="Arial" w:cs="Arial"/>
          <w:sz w:val="22"/>
          <w:szCs w:val="22"/>
        </w:rPr>
        <w:t>graph</w:t>
      </w:r>
      <w:r w:rsidR="004F24FD" w:rsidRPr="00501161">
        <w:rPr>
          <w:rFonts w:ascii="Arial" w:hAnsi="Arial" w:cs="Arial"/>
          <w:sz w:val="22"/>
          <w:szCs w:val="22"/>
        </w:rPr>
        <w:t xml:space="preserve"> 48)</w:t>
      </w:r>
      <w:r w:rsidR="00C7046B" w:rsidRPr="00501161">
        <w:rPr>
          <w:rFonts w:ascii="Arial" w:hAnsi="Arial" w:cs="Arial"/>
          <w:sz w:val="22"/>
          <w:szCs w:val="22"/>
        </w:rPr>
        <w:t>, which contain the full terms and conditions relating to an insurance policy</w:t>
      </w:r>
      <w:r w:rsidR="004F24FD" w:rsidRPr="00501161">
        <w:rPr>
          <w:rFonts w:ascii="Arial" w:hAnsi="Arial" w:cs="Arial"/>
          <w:sz w:val="22"/>
          <w:szCs w:val="22"/>
        </w:rPr>
        <w:t>.</w:t>
      </w:r>
      <w:r w:rsidRPr="00501161">
        <w:rPr>
          <w:rFonts w:ascii="Arial" w:hAnsi="Arial" w:cs="Arial"/>
          <w:sz w:val="22"/>
          <w:szCs w:val="22"/>
        </w:rPr>
        <w:t xml:space="preserve"> </w:t>
      </w:r>
      <w:r w:rsidR="004F24FD" w:rsidRPr="00501161">
        <w:rPr>
          <w:rFonts w:ascii="Arial" w:hAnsi="Arial" w:cs="Arial"/>
          <w:sz w:val="22"/>
          <w:szCs w:val="22"/>
        </w:rPr>
        <w:t xml:space="preserve"> However, we accept the reality that </w:t>
      </w:r>
      <w:r w:rsidR="00FF2F35">
        <w:rPr>
          <w:rFonts w:ascii="Arial" w:hAnsi="Arial" w:cs="Arial"/>
          <w:sz w:val="22"/>
          <w:szCs w:val="22"/>
        </w:rPr>
        <w:t>most</w:t>
      </w:r>
      <w:r w:rsidR="004F24FD" w:rsidRPr="00501161">
        <w:rPr>
          <w:rFonts w:ascii="Arial" w:hAnsi="Arial" w:cs="Arial"/>
          <w:sz w:val="22"/>
          <w:szCs w:val="22"/>
        </w:rPr>
        <w:t xml:space="preserve"> consumers </w:t>
      </w:r>
      <w:r w:rsidR="00C66842" w:rsidRPr="00501161">
        <w:rPr>
          <w:rFonts w:ascii="Arial" w:hAnsi="Arial" w:cs="Arial"/>
          <w:sz w:val="22"/>
          <w:szCs w:val="22"/>
        </w:rPr>
        <w:t xml:space="preserve">do not </w:t>
      </w:r>
      <w:r w:rsidR="005613A7" w:rsidRPr="00501161">
        <w:rPr>
          <w:rFonts w:ascii="Arial" w:hAnsi="Arial" w:cs="Arial"/>
          <w:sz w:val="22"/>
          <w:szCs w:val="22"/>
        </w:rPr>
        <w:t>read their PDS</w:t>
      </w:r>
      <w:r w:rsidR="00C66842" w:rsidRPr="00501161">
        <w:rPr>
          <w:rFonts w:ascii="Arial" w:hAnsi="Arial" w:cs="Arial"/>
          <w:sz w:val="22"/>
          <w:szCs w:val="22"/>
        </w:rPr>
        <w:t>, probably</w:t>
      </w:r>
      <w:r w:rsidR="005613A7" w:rsidRPr="00501161">
        <w:rPr>
          <w:rFonts w:ascii="Arial" w:hAnsi="Arial" w:cs="Arial"/>
          <w:sz w:val="22"/>
          <w:szCs w:val="22"/>
        </w:rPr>
        <w:t xml:space="preserve"> because </w:t>
      </w:r>
      <w:r w:rsidR="00C66842" w:rsidRPr="00501161">
        <w:rPr>
          <w:rFonts w:ascii="Arial" w:hAnsi="Arial" w:cs="Arial"/>
          <w:sz w:val="22"/>
          <w:szCs w:val="22"/>
        </w:rPr>
        <w:t xml:space="preserve">they are discouraged by </w:t>
      </w:r>
      <w:r w:rsidR="005613A7" w:rsidRPr="00501161">
        <w:rPr>
          <w:rFonts w:ascii="Arial" w:hAnsi="Arial" w:cs="Arial"/>
          <w:sz w:val="22"/>
          <w:szCs w:val="22"/>
        </w:rPr>
        <w:t>their</w:t>
      </w:r>
      <w:r w:rsidR="004F24FD" w:rsidRPr="00501161">
        <w:rPr>
          <w:rFonts w:ascii="Arial" w:hAnsi="Arial" w:cs="Arial"/>
          <w:sz w:val="22"/>
          <w:szCs w:val="22"/>
        </w:rPr>
        <w:t xml:space="preserve"> length and complexity.</w:t>
      </w:r>
      <w:r w:rsidR="00A22C29" w:rsidRPr="00501161">
        <w:rPr>
          <w:rFonts w:ascii="Arial" w:hAnsi="Arial" w:cs="Arial"/>
          <w:sz w:val="22"/>
          <w:szCs w:val="22"/>
        </w:rPr>
        <w:t xml:space="preserve">  </w:t>
      </w:r>
      <w:r w:rsidR="00C66842" w:rsidRPr="00501161">
        <w:rPr>
          <w:rFonts w:ascii="Arial" w:hAnsi="Arial" w:cs="Arial"/>
          <w:sz w:val="22"/>
          <w:szCs w:val="22"/>
        </w:rPr>
        <w:t xml:space="preserve">When people do not read their PDS they cannot fully understand their policy, </w:t>
      </w:r>
      <w:r w:rsidR="00477C6A" w:rsidRPr="00501161">
        <w:rPr>
          <w:rFonts w:ascii="Arial" w:hAnsi="Arial" w:cs="Arial"/>
          <w:sz w:val="22"/>
          <w:szCs w:val="22"/>
        </w:rPr>
        <w:t>which</w:t>
      </w:r>
      <w:r w:rsidR="00C66842" w:rsidRPr="00501161">
        <w:rPr>
          <w:rFonts w:ascii="Arial" w:hAnsi="Arial" w:cs="Arial"/>
          <w:sz w:val="22"/>
          <w:szCs w:val="22"/>
        </w:rPr>
        <w:t xml:space="preserve"> can have t</w:t>
      </w:r>
      <w:r w:rsidR="00A22C29" w:rsidRPr="00501161">
        <w:rPr>
          <w:rFonts w:ascii="Arial" w:hAnsi="Arial" w:cs="Arial"/>
          <w:sz w:val="22"/>
          <w:szCs w:val="22"/>
        </w:rPr>
        <w:t>errible consequences.</w:t>
      </w:r>
      <w:r w:rsidR="00FF2F35">
        <w:rPr>
          <w:rFonts w:ascii="Arial" w:hAnsi="Arial" w:cs="Arial"/>
          <w:sz w:val="22"/>
          <w:szCs w:val="22"/>
        </w:rPr>
        <w:t xml:space="preserve">  Further, even if a consumer</w:t>
      </w:r>
      <w:r w:rsidR="00FF2F35" w:rsidRPr="00FF2F35">
        <w:rPr>
          <w:rFonts w:ascii="Arial" w:hAnsi="Arial" w:cs="Arial"/>
          <w:sz w:val="22"/>
          <w:szCs w:val="22"/>
        </w:rPr>
        <w:t xml:space="preserve"> do</w:t>
      </w:r>
      <w:r w:rsidR="00FF2F35">
        <w:rPr>
          <w:rFonts w:ascii="Arial" w:hAnsi="Arial" w:cs="Arial"/>
          <w:sz w:val="22"/>
          <w:szCs w:val="22"/>
        </w:rPr>
        <w:t>es</w:t>
      </w:r>
      <w:r w:rsidR="00FF2F35" w:rsidRPr="00FF2F35">
        <w:rPr>
          <w:rFonts w:ascii="Arial" w:hAnsi="Arial" w:cs="Arial"/>
          <w:sz w:val="22"/>
          <w:szCs w:val="22"/>
        </w:rPr>
        <w:t xml:space="preserve"> read the PDS, they might not understand it or become overwhelmed by detail</w:t>
      </w:r>
      <w:r w:rsidR="00FF2F35">
        <w:rPr>
          <w:rFonts w:ascii="Arial" w:hAnsi="Arial" w:cs="Arial"/>
          <w:sz w:val="22"/>
          <w:szCs w:val="22"/>
        </w:rPr>
        <w:t>.</w:t>
      </w:r>
      <w:r w:rsidR="00A22C29" w:rsidRPr="00501161">
        <w:rPr>
          <w:rFonts w:ascii="Arial" w:hAnsi="Arial" w:cs="Arial"/>
          <w:sz w:val="22"/>
          <w:szCs w:val="22"/>
        </w:rPr>
        <w:t xml:space="preserve">  As we saw in January's floods,</w:t>
      </w:r>
      <w:r w:rsidR="003B03BA" w:rsidRPr="00501161">
        <w:rPr>
          <w:rFonts w:ascii="Arial" w:hAnsi="Arial" w:cs="Arial"/>
          <w:sz w:val="22"/>
          <w:szCs w:val="22"/>
        </w:rPr>
        <w:t xml:space="preserve"> </w:t>
      </w:r>
      <w:r w:rsidR="00A22C29" w:rsidRPr="00501161">
        <w:rPr>
          <w:rFonts w:ascii="Arial" w:hAnsi="Arial" w:cs="Arial"/>
          <w:sz w:val="22"/>
          <w:szCs w:val="22"/>
        </w:rPr>
        <w:t xml:space="preserve">many people affected simply were not aware that their policy did not cover them for the damage they endured.  In addition to enormous personal hardship, this increased the </w:t>
      </w:r>
      <w:r w:rsidR="00752688" w:rsidRPr="00501161">
        <w:rPr>
          <w:rFonts w:ascii="Arial" w:hAnsi="Arial" w:cs="Arial"/>
          <w:sz w:val="22"/>
          <w:szCs w:val="22"/>
        </w:rPr>
        <w:t xml:space="preserve">financial </w:t>
      </w:r>
      <w:r w:rsidR="00A22C29" w:rsidRPr="00501161">
        <w:rPr>
          <w:rFonts w:ascii="Arial" w:hAnsi="Arial" w:cs="Arial"/>
          <w:sz w:val="22"/>
          <w:szCs w:val="22"/>
        </w:rPr>
        <w:t xml:space="preserve">burden </w:t>
      </w:r>
      <w:r w:rsidR="00C66842" w:rsidRPr="00501161">
        <w:rPr>
          <w:rFonts w:ascii="Arial" w:hAnsi="Arial" w:cs="Arial"/>
          <w:sz w:val="22"/>
          <w:szCs w:val="22"/>
        </w:rPr>
        <w:t xml:space="preserve">of reconstruction </w:t>
      </w:r>
      <w:r w:rsidR="00A22C29" w:rsidRPr="00501161">
        <w:rPr>
          <w:rFonts w:ascii="Arial" w:hAnsi="Arial" w:cs="Arial"/>
          <w:sz w:val="22"/>
          <w:szCs w:val="22"/>
        </w:rPr>
        <w:t xml:space="preserve">on the </w:t>
      </w:r>
      <w:r w:rsidR="00752688" w:rsidRPr="00501161">
        <w:rPr>
          <w:rFonts w:ascii="Arial" w:hAnsi="Arial" w:cs="Arial"/>
          <w:sz w:val="22"/>
          <w:szCs w:val="22"/>
        </w:rPr>
        <w:t xml:space="preserve">broader </w:t>
      </w:r>
      <w:r w:rsidR="00A22C29" w:rsidRPr="00501161">
        <w:rPr>
          <w:rFonts w:ascii="Arial" w:hAnsi="Arial" w:cs="Arial"/>
          <w:sz w:val="22"/>
          <w:szCs w:val="22"/>
        </w:rPr>
        <w:t>public</w:t>
      </w:r>
      <w:r w:rsidR="00752688" w:rsidRPr="00501161">
        <w:rPr>
          <w:rFonts w:ascii="Arial" w:hAnsi="Arial" w:cs="Arial"/>
          <w:sz w:val="22"/>
          <w:szCs w:val="22"/>
        </w:rPr>
        <w:t>.</w:t>
      </w:r>
    </w:p>
    <w:p w:rsidR="000C2440" w:rsidRPr="00501161" w:rsidRDefault="000C2440" w:rsidP="00443F58">
      <w:pPr>
        <w:spacing w:line="276" w:lineRule="auto"/>
        <w:ind w:right="-96"/>
        <w:jc w:val="both"/>
        <w:rPr>
          <w:rFonts w:ascii="Arial" w:hAnsi="Arial" w:cs="Arial"/>
          <w:sz w:val="22"/>
          <w:szCs w:val="22"/>
          <w:highlight w:val="yellow"/>
        </w:rPr>
      </w:pPr>
    </w:p>
    <w:p w:rsidR="004F24FD" w:rsidRPr="00501161" w:rsidRDefault="005613A7" w:rsidP="00443F58">
      <w:pPr>
        <w:spacing w:line="276" w:lineRule="auto"/>
        <w:ind w:right="-96"/>
        <w:jc w:val="both"/>
        <w:rPr>
          <w:rFonts w:ascii="Arial" w:hAnsi="Arial" w:cs="Arial"/>
          <w:sz w:val="22"/>
          <w:szCs w:val="22"/>
        </w:rPr>
      </w:pPr>
      <w:r w:rsidRPr="00501161">
        <w:rPr>
          <w:rFonts w:ascii="Arial" w:hAnsi="Arial" w:cs="Arial"/>
          <w:sz w:val="22"/>
          <w:szCs w:val="22"/>
        </w:rPr>
        <w:t xml:space="preserve">A key facts statement </w:t>
      </w:r>
      <w:r w:rsidR="00C66842" w:rsidRPr="00501161">
        <w:rPr>
          <w:rFonts w:ascii="Arial" w:hAnsi="Arial" w:cs="Arial"/>
          <w:sz w:val="22"/>
          <w:szCs w:val="22"/>
        </w:rPr>
        <w:t xml:space="preserve">does not replace a PDS because it cannot </w:t>
      </w:r>
      <w:r w:rsidRPr="00501161">
        <w:rPr>
          <w:rFonts w:ascii="Arial" w:hAnsi="Arial" w:cs="Arial"/>
          <w:sz w:val="22"/>
          <w:szCs w:val="22"/>
        </w:rPr>
        <w:t xml:space="preserve">provide </w:t>
      </w:r>
      <w:r w:rsidR="00C66842" w:rsidRPr="00501161">
        <w:rPr>
          <w:rFonts w:ascii="Arial" w:hAnsi="Arial" w:cs="Arial"/>
          <w:sz w:val="22"/>
          <w:szCs w:val="22"/>
        </w:rPr>
        <w:t xml:space="preserve">the same level of detail, </w:t>
      </w:r>
      <w:r w:rsidR="003B03BA" w:rsidRPr="00501161">
        <w:rPr>
          <w:rFonts w:ascii="Arial" w:hAnsi="Arial" w:cs="Arial"/>
          <w:sz w:val="22"/>
          <w:szCs w:val="22"/>
        </w:rPr>
        <w:t>but th</w:t>
      </w:r>
      <w:r w:rsidR="00C66842" w:rsidRPr="00501161">
        <w:rPr>
          <w:rFonts w:ascii="Arial" w:hAnsi="Arial" w:cs="Arial"/>
          <w:sz w:val="22"/>
          <w:szCs w:val="22"/>
        </w:rPr>
        <w:t>is</w:t>
      </w:r>
      <w:r w:rsidR="003B03BA" w:rsidRPr="00501161">
        <w:rPr>
          <w:rFonts w:ascii="Arial" w:hAnsi="Arial" w:cs="Arial"/>
          <w:sz w:val="22"/>
          <w:szCs w:val="22"/>
        </w:rPr>
        <w:t xml:space="preserve"> is </w:t>
      </w:r>
      <w:r w:rsidR="00B77FFB" w:rsidRPr="00501161">
        <w:rPr>
          <w:rFonts w:ascii="Arial" w:hAnsi="Arial" w:cs="Arial"/>
          <w:sz w:val="22"/>
          <w:szCs w:val="22"/>
        </w:rPr>
        <w:t>as much a strength as a weakness.</w:t>
      </w:r>
      <w:r w:rsidR="003B03BA" w:rsidRPr="00501161">
        <w:rPr>
          <w:rFonts w:ascii="Arial" w:hAnsi="Arial" w:cs="Arial"/>
          <w:sz w:val="22"/>
          <w:szCs w:val="22"/>
        </w:rPr>
        <w:t xml:space="preserve"> </w:t>
      </w:r>
      <w:r w:rsidR="00B77FFB" w:rsidRPr="00501161">
        <w:rPr>
          <w:rFonts w:ascii="Arial" w:hAnsi="Arial" w:cs="Arial"/>
          <w:sz w:val="22"/>
          <w:szCs w:val="22"/>
        </w:rPr>
        <w:t xml:space="preserve"> </w:t>
      </w:r>
      <w:r w:rsidR="00946012" w:rsidRPr="00501161">
        <w:rPr>
          <w:rFonts w:ascii="Arial" w:hAnsi="Arial" w:cs="Arial"/>
          <w:sz w:val="22"/>
          <w:szCs w:val="22"/>
        </w:rPr>
        <w:t>The lack of detail in a</w:t>
      </w:r>
      <w:r w:rsidR="00B77FFB" w:rsidRPr="00501161">
        <w:rPr>
          <w:rFonts w:ascii="Arial" w:hAnsi="Arial" w:cs="Arial"/>
          <w:sz w:val="22"/>
          <w:szCs w:val="22"/>
        </w:rPr>
        <w:t xml:space="preserve"> </w:t>
      </w:r>
      <w:r w:rsidR="003B03BA" w:rsidRPr="00501161">
        <w:rPr>
          <w:rFonts w:ascii="Arial" w:hAnsi="Arial" w:cs="Arial"/>
          <w:sz w:val="22"/>
          <w:szCs w:val="22"/>
        </w:rPr>
        <w:t xml:space="preserve">key </w:t>
      </w:r>
      <w:r w:rsidR="00B77FFB" w:rsidRPr="00501161">
        <w:rPr>
          <w:rFonts w:ascii="Arial" w:hAnsi="Arial" w:cs="Arial"/>
          <w:sz w:val="22"/>
          <w:szCs w:val="22"/>
        </w:rPr>
        <w:t xml:space="preserve">facts </w:t>
      </w:r>
      <w:r w:rsidR="00C7046B" w:rsidRPr="00501161">
        <w:rPr>
          <w:rFonts w:ascii="Arial" w:hAnsi="Arial" w:cs="Arial"/>
          <w:sz w:val="22"/>
          <w:szCs w:val="22"/>
        </w:rPr>
        <w:t>statement</w:t>
      </w:r>
      <w:r w:rsidR="00B77FFB" w:rsidRPr="00501161">
        <w:rPr>
          <w:rFonts w:ascii="Arial" w:hAnsi="Arial" w:cs="Arial"/>
          <w:sz w:val="22"/>
          <w:szCs w:val="22"/>
        </w:rPr>
        <w:t xml:space="preserve"> </w:t>
      </w:r>
      <w:r w:rsidR="00946012" w:rsidRPr="00501161">
        <w:rPr>
          <w:rFonts w:ascii="Arial" w:hAnsi="Arial" w:cs="Arial"/>
          <w:sz w:val="22"/>
          <w:szCs w:val="22"/>
        </w:rPr>
        <w:t>enables it to</w:t>
      </w:r>
      <w:r w:rsidR="00B77FFB" w:rsidRPr="00501161">
        <w:rPr>
          <w:rFonts w:ascii="Arial" w:hAnsi="Arial" w:cs="Arial"/>
          <w:sz w:val="22"/>
          <w:szCs w:val="22"/>
        </w:rPr>
        <w:t xml:space="preserve"> </w:t>
      </w:r>
      <w:r w:rsidR="00977BC8" w:rsidRPr="00501161">
        <w:rPr>
          <w:rFonts w:ascii="Arial" w:hAnsi="Arial" w:cs="Arial"/>
          <w:sz w:val="22"/>
          <w:szCs w:val="22"/>
        </w:rPr>
        <w:t xml:space="preserve">set out the most important points of the policy </w:t>
      </w:r>
      <w:r w:rsidR="003B03BA" w:rsidRPr="00501161">
        <w:rPr>
          <w:rFonts w:ascii="Arial" w:hAnsi="Arial" w:cs="Arial"/>
          <w:sz w:val="22"/>
          <w:szCs w:val="22"/>
        </w:rPr>
        <w:t>clear</w:t>
      </w:r>
      <w:r w:rsidR="00977BC8" w:rsidRPr="00501161">
        <w:rPr>
          <w:rFonts w:ascii="Arial" w:hAnsi="Arial" w:cs="Arial"/>
          <w:sz w:val="22"/>
          <w:szCs w:val="22"/>
        </w:rPr>
        <w:t>ly</w:t>
      </w:r>
      <w:r w:rsidR="003B03BA" w:rsidRPr="00501161">
        <w:rPr>
          <w:rFonts w:ascii="Arial" w:hAnsi="Arial" w:cs="Arial"/>
          <w:sz w:val="22"/>
          <w:szCs w:val="22"/>
        </w:rPr>
        <w:t xml:space="preserve"> and </w:t>
      </w:r>
      <w:r w:rsidR="00977BC8" w:rsidRPr="00501161">
        <w:rPr>
          <w:rFonts w:ascii="Arial" w:hAnsi="Arial" w:cs="Arial"/>
          <w:sz w:val="22"/>
          <w:szCs w:val="22"/>
        </w:rPr>
        <w:t xml:space="preserve">simply in a way that </w:t>
      </w:r>
      <w:r w:rsidR="00C66842" w:rsidRPr="00501161">
        <w:rPr>
          <w:rFonts w:ascii="Arial" w:hAnsi="Arial" w:cs="Arial"/>
          <w:sz w:val="22"/>
          <w:szCs w:val="22"/>
        </w:rPr>
        <w:t xml:space="preserve">a </w:t>
      </w:r>
      <w:r w:rsidR="00977BC8" w:rsidRPr="00501161">
        <w:rPr>
          <w:rFonts w:ascii="Arial" w:hAnsi="Arial" w:cs="Arial"/>
          <w:sz w:val="22"/>
          <w:szCs w:val="22"/>
        </w:rPr>
        <w:t>PDS cannot.</w:t>
      </w:r>
      <w:r w:rsidR="003B03BA" w:rsidRPr="00501161">
        <w:rPr>
          <w:rFonts w:ascii="Arial" w:hAnsi="Arial" w:cs="Arial"/>
          <w:sz w:val="22"/>
          <w:szCs w:val="22"/>
        </w:rPr>
        <w:t xml:space="preserve">  </w:t>
      </w:r>
      <w:r w:rsidR="00977BC8" w:rsidRPr="00501161">
        <w:rPr>
          <w:rFonts w:ascii="Arial" w:hAnsi="Arial" w:cs="Arial"/>
          <w:sz w:val="22"/>
          <w:szCs w:val="22"/>
        </w:rPr>
        <w:t xml:space="preserve">By providing </w:t>
      </w:r>
      <w:r w:rsidR="00C7046B" w:rsidRPr="00501161">
        <w:rPr>
          <w:rFonts w:ascii="Arial" w:hAnsi="Arial" w:cs="Arial"/>
          <w:sz w:val="22"/>
          <w:szCs w:val="22"/>
        </w:rPr>
        <w:t xml:space="preserve">for </w:t>
      </w:r>
      <w:r w:rsidR="00977BC8" w:rsidRPr="00501161">
        <w:rPr>
          <w:rFonts w:ascii="Arial" w:hAnsi="Arial" w:cs="Arial"/>
          <w:sz w:val="22"/>
          <w:szCs w:val="22"/>
        </w:rPr>
        <w:t xml:space="preserve">the two documents </w:t>
      </w:r>
      <w:r w:rsidR="00C7046B" w:rsidRPr="00501161">
        <w:rPr>
          <w:rFonts w:ascii="Arial" w:hAnsi="Arial" w:cs="Arial"/>
          <w:sz w:val="22"/>
          <w:szCs w:val="22"/>
        </w:rPr>
        <w:t>to be given to consumers (we recommend at different stages in the transaction - see below)</w:t>
      </w:r>
      <w:r w:rsidR="00977BC8" w:rsidRPr="00501161">
        <w:rPr>
          <w:rFonts w:ascii="Arial" w:hAnsi="Arial" w:cs="Arial"/>
          <w:sz w:val="22"/>
          <w:szCs w:val="22"/>
        </w:rPr>
        <w:t xml:space="preserve">, we </w:t>
      </w:r>
      <w:r w:rsidR="00946012" w:rsidRPr="00501161">
        <w:rPr>
          <w:rFonts w:ascii="Arial" w:hAnsi="Arial" w:cs="Arial"/>
          <w:sz w:val="22"/>
          <w:szCs w:val="22"/>
        </w:rPr>
        <w:t xml:space="preserve">retain detail but improve clarity and accessibility. </w:t>
      </w:r>
      <w:r w:rsidR="003B03BA" w:rsidRPr="00501161">
        <w:rPr>
          <w:rFonts w:ascii="Arial" w:hAnsi="Arial" w:cs="Arial"/>
          <w:sz w:val="22"/>
          <w:szCs w:val="22"/>
        </w:rPr>
        <w:t xml:space="preserve"> This will </w:t>
      </w:r>
      <w:r w:rsidR="00A85CA2" w:rsidRPr="00501161">
        <w:rPr>
          <w:rFonts w:ascii="Arial" w:hAnsi="Arial" w:cs="Arial"/>
          <w:sz w:val="22"/>
          <w:szCs w:val="22"/>
        </w:rPr>
        <w:t xml:space="preserve">help consumers make better decisions about insurance coverage, </w:t>
      </w:r>
      <w:r w:rsidR="00A22C29" w:rsidRPr="00501161">
        <w:rPr>
          <w:rFonts w:ascii="Arial" w:hAnsi="Arial" w:cs="Arial"/>
          <w:sz w:val="22"/>
          <w:szCs w:val="22"/>
        </w:rPr>
        <w:t xml:space="preserve">which is good for consumers, </w:t>
      </w:r>
      <w:r w:rsidR="00A85CA2" w:rsidRPr="00501161">
        <w:rPr>
          <w:rFonts w:ascii="Arial" w:hAnsi="Arial" w:cs="Arial"/>
          <w:sz w:val="22"/>
          <w:szCs w:val="22"/>
        </w:rPr>
        <w:t>the industry</w:t>
      </w:r>
      <w:r w:rsidR="00A22C29" w:rsidRPr="00501161">
        <w:rPr>
          <w:rFonts w:ascii="Arial" w:hAnsi="Arial" w:cs="Arial"/>
          <w:sz w:val="22"/>
          <w:szCs w:val="22"/>
        </w:rPr>
        <w:t xml:space="preserve"> and the community at large</w:t>
      </w:r>
      <w:r w:rsidR="00A85CA2" w:rsidRPr="00501161">
        <w:rPr>
          <w:rFonts w:ascii="Arial" w:hAnsi="Arial" w:cs="Arial"/>
          <w:sz w:val="22"/>
          <w:szCs w:val="22"/>
        </w:rPr>
        <w:t>.</w:t>
      </w:r>
    </w:p>
    <w:p w:rsidR="005613A7" w:rsidRPr="00501161" w:rsidRDefault="005613A7" w:rsidP="00443F58">
      <w:pPr>
        <w:spacing w:line="276" w:lineRule="auto"/>
        <w:ind w:right="-96"/>
        <w:jc w:val="both"/>
        <w:rPr>
          <w:rFonts w:ascii="Arial" w:hAnsi="Arial" w:cs="Arial"/>
          <w:sz w:val="22"/>
          <w:szCs w:val="22"/>
        </w:rPr>
      </w:pPr>
    </w:p>
    <w:p w:rsidR="00A85CA2" w:rsidRPr="00501161" w:rsidRDefault="00A85CA2" w:rsidP="00443F58">
      <w:pPr>
        <w:spacing w:line="276" w:lineRule="auto"/>
        <w:ind w:right="-96"/>
        <w:jc w:val="both"/>
        <w:rPr>
          <w:rFonts w:ascii="Arial" w:hAnsi="Arial" w:cs="Arial"/>
          <w:sz w:val="22"/>
          <w:szCs w:val="22"/>
        </w:rPr>
      </w:pPr>
      <w:r w:rsidRPr="00501161">
        <w:rPr>
          <w:rFonts w:ascii="Arial" w:hAnsi="Arial" w:cs="Arial"/>
          <w:sz w:val="22"/>
          <w:szCs w:val="22"/>
        </w:rPr>
        <w:t>A key facts statement will also encourage competition between insurers as it will allow consumers to compare key elements of two or more policies easily</w:t>
      </w:r>
      <w:r w:rsidR="00C7046B" w:rsidRPr="00501161">
        <w:rPr>
          <w:rFonts w:ascii="Arial" w:hAnsi="Arial" w:cs="Arial"/>
          <w:sz w:val="22"/>
          <w:szCs w:val="22"/>
        </w:rPr>
        <w:t xml:space="preserve"> - so long as it is made </w:t>
      </w:r>
      <w:r w:rsidR="00C7046B" w:rsidRPr="00501161">
        <w:rPr>
          <w:rFonts w:ascii="Arial" w:hAnsi="Arial" w:cs="Arial"/>
          <w:sz w:val="22"/>
          <w:szCs w:val="22"/>
        </w:rPr>
        <w:lastRenderedPageBreak/>
        <w:t>available at the shopping around and insurance quote stages</w:t>
      </w:r>
      <w:r w:rsidRPr="00501161">
        <w:rPr>
          <w:rFonts w:ascii="Arial" w:hAnsi="Arial" w:cs="Arial"/>
          <w:sz w:val="22"/>
          <w:szCs w:val="22"/>
        </w:rPr>
        <w:t xml:space="preserve">.  In the context of flood insurance, for example, </w:t>
      </w:r>
      <w:r w:rsidR="00C66842" w:rsidRPr="00501161">
        <w:rPr>
          <w:rFonts w:ascii="Arial" w:hAnsi="Arial" w:cs="Arial"/>
          <w:sz w:val="22"/>
          <w:szCs w:val="22"/>
        </w:rPr>
        <w:t xml:space="preserve">key facts statements will quickly tell </w:t>
      </w:r>
      <w:r w:rsidRPr="00501161">
        <w:rPr>
          <w:rFonts w:ascii="Arial" w:hAnsi="Arial" w:cs="Arial"/>
          <w:sz w:val="22"/>
          <w:szCs w:val="22"/>
        </w:rPr>
        <w:t>co</w:t>
      </w:r>
      <w:r w:rsidR="00C66842" w:rsidRPr="00501161">
        <w:rPr>
          <w:rFonts w:ascii="Arial" w:hAnsi="Arial" w:cs="Arial"/>
          <w:sz w:val="22"/>
          <w:szCs w:val="22"/>
        </w:rPr>
        <w:t>nsumers in flood prone areas which policies provide</w:t>
      </w:r>
      <w:r w:rsidRPr="00501161">
        <w:rPr>
          <w:rFonts w:ascii="Arial" w:hAnsi="Arial" w:cs="Arial"/>
          <w:sz w:val="22"/>
          <w:szCs w:val="22"/>
        </w:rPr>
        <w:t xml:space="preserve"> flood </w:t>
      </w:r>
      <w:r w:rsidR="00C66842" w:rsidRPr="00501161">
        <w:rPr>
          <w:rFonts w:ascii="Arial" w:hAnsi="Arial" w:cs="Arial"/>
          <w:sz w:val="22"/>
          <w:szCs w:val="22"/>
        </w:rPr>
        <w:t>cover and which do</w:t>
      </w:r>
      <w:r w:rsidRPr="00501161">
        <w:rPr>
          <w:rFonts w:ascii="Arial" w:hAnsi="Arial" w:cs="Arial"/>
          <w:sz w:val="22"/>
          <w:szCs w:val="22"/>
        </w:rPr>
        <w:t xml:space="preserve"> not.  This kind of comparison is much more difficult and </w:t>
      </w:r>
      <w:r w:rsidR="00C66842" w:rsidRPr="00501161">
        <w:rPr>
          <w:rFonts w:ascii="Arial" w:hAnsi="Arial" w:cs="Arial"/>
          <w:sz w:val="22"/>
          <w:szCs w:val="22"/>
        </w:rPr>
        <w:t>time consuming to do using a PDS</w:t>
      </w:r>
      <w:r w:rsidRPr="00501161">
        <w:rPr>
          <w:rFonts w:ascii="Arial" w:hAnsi="Arial" w:cs="Arial"/>
          <w:sz w:val="22"/>
          <w:szCs w:val="22"/>
        </w:rPr>
        <w:t xml:space="preserve"> alone.</w:t>
      </w:r>
      <w:r w:rsidR="006D3F44" w:rsidRPr="00501161">
        <w:rPr>
          <w:rFonts w:ascii="Arial" w:hAnsi="Arial" w:cs="Arial"/>
          <w:sz w:val="22"/>
          <w:szCs w:val="22"/>
        </w:rPr>
        <w:t xml:space="preserve">  A population with a clearer idea about which policies include flood cover (and of the price of flood cover) will send clearer demand signals to providers, improving the range of products on offer.</w:t>
      </w:r>
    </w:p>
    <w:p w:rsidR="00651D38" w:rsidRPr="00501161" w:rsidRDefault="00651D38" w:rsidP="00443F58">
      <w:pPr>
        <w:spacing w:line="276" w:lineRule="auto"/>
        <w:ind w:right="-96"/>
        <w:jc w:val="both"/>
        <w:rPr>
          <w:rFonts w:ascii="Arial" w:hAnsi="Arial" w:cs="Arial"/>
          <w:sz w:val="22"/>
          <w:szCs w:val="22"/>
        </w:rPr>
      </w:pPr>
    </w:p>
    <w:p w:rsidR="00651D38" w:rsidRPr="00501161" w:rsidRDefault="00651D38" w:rsidP="00443F58">
      <w:pPr>
        <w:spacing w:line="276" w:lineRule="auto"/>
        <w:ind w:right="-96"/>
        <w:jc w:val="both"/>
        <w:rPr>
          <w:rFonts w:ascii="Arial" w:hAnsi="Arial" w:cs="Arial"/>
          <w:sz w:val="22"/>
          <w:szCs w:val="22"/>
        </w:rPr>
      </w:pPr>
      <w:r w:rsidRPr="00501161">
        <w:rPr>
          <w:rFonts w:ascii="Arial" w:hAnsi="Arial" w:cs="Arial"/>
          <w:sz w:val="22"/>
          <w:szCs w:val="22"/>
        </w:rPr>
        <w:t>We also support the Government's intention to subject a revised key facts sheet to consumer testing on its content and layout before the requirements are finalised (paragraph 55).  Testing will be critical to ensure that the key facts statements ultimately required to be produced are, in practice, able to be used effectively by consumers.</w:t>
      </w:r>
    </w:p>
    <w:p w:rsidR="000B0923" w:rsidRPr="00501161" w:rsidRDefault="000B0923" w:rsidP="00443F58">
      <w:pPr>
        <w:spacing w:line="276" w:lineRule="auto"/>
        <w:ind w:right="-96"/>
        <w:jc w:val="both"/>
        <w:rPr>
          <w:rFonts w:ascii="Arial" w:hAnsi="Arial" w:cs="Arial"/>
          <w:sz w:val="22"/>
          <w:szCs w:val="22"/>
        </w:rPr>
      </w:pPr>
    </w:p>
    <w:p w:rsidR="00262E2F" w:rsidRPr="00501161" w:rsidRDefault="00262E2F" w:rsidP="00443F58">
      <w:pPr>
        <w:spacing w:line="276" w:lineRule="auto"/>
        <w:ind w:right="-96"/>
        <w:jc w:val="both"/>
        <w:rPr>
          <w:rFonts w:ascii="Arial" w:hAnsi="Arial" w:cs="Arial"/>
          <w:i/>
          <w:sz w:val="22"/>
          <w:szCs w:val="22"/>
        </w:rPr>
      </w:pPr>
      <w:r w:rsidRPr="00501161">
        <w:rPr>
          <w:rFonts w:ascii="Arial" w:hAnsi="Arial" w:cs="Arial"/>
          <w:i/>
          <w:sz w:val="22"/>
          <w:szCs w:val="22"/>
        </w:rPr>
        <w:t>Responses to consultation questions</w:t>
      </w:r>
    </w:p>
    <w:p w:rsidR="00262E2F" w:rsidRPr="00501161" w:rsidRDefault="00262E2F" w:rsidP="00443F58">
      <w:pPr>
        <w:spacing w:line="276" w:lineRule="auto"/>
        <w:ind w:right="-96"/>
        <w:jc w:val="both"/>
        <w:rPr>
          <w:rFonts w:ascii="Arial" w:hAnsi="Arial" w:cs="Arial"/>
          <w:sz w:val="22"/>
          <w:szCs w:val="22"/>
        </w:rPr>
      </w:pPr>
    </w:p>
    <w:p w:rsidR="00262E2F" w:rsidRPr="00501161" w:rsidRDefault="00262E2F" w:rsidP="007A7727">
      <w:pPr>
        <w:spacing w:after="240" w:line="276" w:lineRule="auto"/>
        <w:ind w:right="-96"/>
        <w:jc w:val="both"/>
        <w:rPr>
          <w:rFonts w:ascii="Arial" w:hAnsi="Arial" w:cs="Arial"/>
          <w:i/>
          <w:sz w:val="22"/>
          <w:szCs w:val="22"/>
        </w:rPr>
      </w:pPr>
      <w:r w:rsidRPr="00501161">
        <w:rPr>
          <w:rFonts w:ascii="Arial" w:hAnsi="Arial" w:cs="Arial"/>
          <w:i/>
          <w:sz w:val="22"/>
          <w:szCs w:val="22"/>
        </w:rPr>
        <w:t>Are there any disadvantages with a combined key facts statements where a PDS is also combined?</w:t>
      </w:r>
      <w:r w:rsidR="00942031" w:rsidRPr="00501161">
        <w:rPr>
          <w:rFonts w:ascii="Arial" w:hAnsi="Arial" w:cs="Arial"/>
          <w:i/>
          <w:sz w:val="22"/>
          <w:szCs w:val="22"/>
        </w:rPr>
        <w:t xml:space="preserve"> </w:t>
      </w:r>
    </w:p>
    <w:p w:rsidR="001B268B" w:rsidRPr="00501161" w:rsidRDefault="001B268B" w:rsidP="00674E81">
      <w:pPr>
        <w:spacing w:line="276" w:lineRule="auto"/>
        <w:ind w:right="-96"/>
        <w:jc w:val="both"/>
        <w:rPr>
          <w:rFonts w:ascii="Arial" w:hAnsi="Arial" w:cs="Arial"/>
          <w:sz w:val="22"/>
          <w:szCs w:val="22"/>
        </w:rPr>
      </w:pPr>
      <w:r w:rsidRPr="00501161">
        <w:rPr>
          <w:rFonts w:ascii="Arial" w:hAnsi="Arial" w:cs="Arial"/>
          <w:sz w:val="22"/>
          <w:szCs w:val="22"/>
        </w:rPr>
        <w:t>We do not support allowing for a combined key facts st</w:t>
      </w:r>
      <w:r w:rsidR="00B462AD" w:rsidRPr="00501161">
        <w:rPr>
          <w:rFonts w:ascii="Arial" w:hAnsi="Arial" w:cs="Arial"/>
          <w:sz w:val="22"/>
          <w:szCs w:val="22"/>
        </w:rPr>
        <w:t>atement</w:t>
      </w:r>
      <w:r w:rsidRPr="00501161">
        <w:rPr>
          <w:rFonts w:ascii="Arial" w:hAnsi="Arial" w:cs="Arial"/>
          <w:sz w:val="22"/>
          <w:szCs w:val="22"/>
        </w:rPr>
        <w:t xml:space="preserve"> for a home building policy and a home contents policy simply because an insurer </w:t>
      </w:r>
      <w:r w:rsidR="00B462AD" w:rsidRPr="00501161">
        <w:rPr>
          <w:rFonts w:ascii="Arial" w:hAnsi="Arial" w:cs="Arial"/>
          <w:sz w:val="22"/>
          <w:szCs w:val="22"/>
        </w:rPr>
        <w:t xml:space="preserve">chooses to </w:t>
      </w:r>
      <w:r w:rsidRPr="00501161">
        <w:rPr>
          <w:rFonts w:ascii="Arial" w:hAnsi="Arial" w:cs="Arial"/>
          <w:sz w:val="22"/>
          <w:szCs w:val="22"/>
        </w:rPr>
        <w:t>issue a single PDS covering these products.</w:t>
      </w:r>
    </w:p>
    <w:p w:rsidR="001B268B" w:rsidRPr="00501161" w:rsidRDefault="001B268B" w:rsidP="005752DD">
      <w:pPr>
        <w:spacing w:line="276" w:lineRule="auto"/>
        <w:ind w:left="720" w:right="-96"/>
        <w:jc w:val="both"/>
        <w:rPr>
          <w:rFonts w:ascii="Arial" w:hAnsi="Arial" w:cs="Arial"/>
          <w:sz w:val="22"/>
          <w:szCs w:val="22"/>
        </w:rPr>
      </w:pPr>
    </w:p>
    <w:p w:rsidR="00B462AD" w:rsidRPr="00501161" w:rsidRDefault="00B462AD" w:rsidP="00674E81">
      <w:pPr>
        <w:spacing w:line="276" w:lineRule="auto"/>
        <w:ind w:right="-96"/>
        <w:jc w:val="both"/>
        <w:rPr>
          <w:rFonts w:ascii="Arial" w:hAnsi="Arial" w:cs="Arial"/>
          <w:sz w:val="22"/>
          <w:szCs w:val="22"/>
        </w:rPr>
      </w:pPr>
      <w:r w:rsidRPr="00501161">
        <w:rPr>
          <w:rFonts w:ascii="Arial" w:hAnsi="Arial" w:cs="Arial"/>
          <w:sz w:val="22"/>
          <w:szCs w:val="22"/>
        </w:rPr>
        <w:t>Home building and home contents insurance are, quite clearly, different products.  The purpose of the key facts statement must be to allow for simple and easy comprehension and to facilitate easy comparison with like policies offered by other insurers, facilitating competition</w:t>
      </w:r>
      <w:r w:rsidR="00C32F57" w:rsidRPr="00501161">
        <w:rPr>
          <w:rFonts w:ascii="Arial" w:hAnsi="Arial" w:cs="Arial"/>
          <w:sz w:val="22"/>
          <w:szCs w:val="22"/>
        </w:rPr>
        <w:t xml:space="preserve"> </w:t>
      </w:r>
      <w:r w:rsidR="00C32F57" w:rsidRPr="00501161">
        <w:rPr>
          <w:rFonts w:ascii="Arial" w:hAnsi="Arial" w:cs="Arial"/>
          <w:i/>
          <w:sz w:val="22"/>
          <w:szCs w:val="22"/>
        </w:rPr>
        <w:t>on both products</w:t>
      </w:r>
      <w:r w:rsidRPr="00501161">
        <w:rPr>
          <w:rFonts w:ascii="Arial" w:hAnsi="Arial" w:cs="Arial"/>
          <w:sz w:val="22"/>
          <w:szCs w:val="22"/>
        </w:rPr>
        <w:t xml:space="preserve">.  Consumers may, but also may not, purchase both types of policies together.  First, any insured home that is rented </w:t>
      </w:r>
      <w:r w:rsidR="00983BFC" w:rsidRPr="00501161">
        <w:rPr>
          <w:rFonts w:ascii="Arial" w:hAnsi="Arial" w:cs="Arial"/>
          <w:sz w:val="22"/>
          <w:szCs w:val="22"/>
        </w:rPr>
        <w:t>will</w:t>
      </w:r>
      <w:r w:rsidRPr="00501161">
        <w:rPr>
          <w:rFonts w:ascii="Arial" w:hAnsi="Arial" w:cs="Arial"/>
          <w:sz w:val="22"/>
          <w:szCs w:val="22"/>
        </w:rPr>
        <w:t xml:space="preserve"> be subject to polic</w:t>
      </w:r>
      <w:r w:rsidR="00983BFC" w:rsidRPr="00501161">
        <w:rPr>
          <w:rFonts w:ascii="Arial" w:hAnsi="Arial" w:cs="Arial"/>
          <w:sz w:val="22"/>
          <w:szCs w:val="22"/>
        </w:rPr>
        <w:t>ies</w:t>
      </w:r>
      <w:r w:rsidRPr="00501161">
        <w:rPr>
          <w:rFonts w:ascii="Arial" w:hAnsi="Arial" w:cs="Arial"/>
          <w:sz w:val="22"/>
          <w:szCs w:val="22"/>
        </w:rPr>
        <w:t xml:space="preserve"> </w:t>
      </w:r>
      <w:r w:rsidR="00983BFC" w:rsidRPr="00501161">
        <w:rPr>
          <w:rFonts w:ascii="Arial" w:hAnsi="Arial" w:cs="Arial"/>
          <w:sz w:val="22"/>
          <w:szCs w:val="22"/>
        </w:rPr>
        <w:t xml:space="preserve">covering the building and the contents that are </w:t>
      </w:r>
      <w:r w:rsidRPr="00501161">
        <w:rPr>
          <w:rFonts w:ascii="Arial" w:hAnsi="Arial" w:cs="Arial"/>
          <w:sz w:val="22"/>
          <w:szCs w:val="22"/>
        </w:rPr>
        <w:t>shopped for, purchased and held by different parties.  Secondly, even owner-occupiers often shop for and purchase the two p</w:t>
      </w:r>
      <w:r w:rsidR="00C32F57" w:rsidRPr="00501161">
        <w:rPr>
          <w:rFonts w:ascii="Arial" w:hAnsi="Arial" w:cs="Arial"/>
          <w:sz w:val="22"/>
          <w:szCs w:val="22"/>
        </w:rPr>
        <w:t>olicies from different insurers.</w:t>
      </w:r>
    </w:p>
    <w:p w:rsidR="00983BFC" w:rsidRPr="00501161" w:rsidRDefault="00983BFC" w:rsidP="00983BFC">
      <w:pPr>
        <w:spacing w:line="276" w:lineRule="auto"/>
        <w:ind w:left="720" w:right="-96"/>
        <w:jc w:val="both"/>
        <w:rPr>
          <w:rFonts w:ascii="Arial" w:hAnsi="Arial" w:cs="Arial"/>
          <w:sz w:val="22"/>
          <w:szCs w:val="22"/>
        </w:rPr>
      </w:pPr>
    </w:p>
    <w:p w:rsidR="0080075E" w:rsidRPr="00501161" w:rsidRDefault="00983BFC" w:rsidP="00674E81">
      <w:pPr>
        <w:spacing w:line="276" w:lineRule="auto"/>
        <w:ind w:right="-96"/>
        <w:jc w:val="both"/>
        <w:rPr>
          <w:rFonts w:ascii="Arial" w:hAnsi="Arial" w:cs="Arial"/>
          <w:sz w:val="22"/>
          <w:szCs w:val="22"/>
        </w:rPr>
      </w:pPr>
      <w:r w:rsidRPr="00501161">
        <w:rPr>
          <w:rFonts w:ascii="Arial" w:hAnsi="Arial" w:cs="Arial"/>
          <w:sz w:val="22"/>
          <w:szCs w:val="22"/>
        </w:rPr>
        <w:t xml:space="preserve">A combined key facts statement will make it harder for the consumer to compare either the home building or the home contents policy with other home building or home contents policies - and each policy </w:t>
      </w:r>
      <w:r w:rsidRPr="00501161">
        <w:rPr>
          <w:rFonts w:ascii="Arial" w:hAnsi="Arial" w:cs="Arial"/>
          <w:i/>
          <w:sz w:val="22"/>
          <w:szCs w:val="22"/>
        </w:rPr>
        <w:t>should</w:t>
      </w:r>
      <w:r w:rsidRPr="00501161">
        <w:rPr>
          <w:rFonts w:ascii="Arial" w:hAnsi="Arial" w:cs="Arial"/>
          <w:sz w:val="22"/>
          <w:szCs w:val="22"/>
        </w:rPr>
        <w:t xml:space="preserve"> be separately considered and compared.  A review of recent CHOICE reports on home building and home contents insurance policies reveals that the insurers with the best buys for home building policies do not necessarily provide the best bu</w:t>
      </w:r>
      <w:r w:rsidR="0080075E" w:rsidRPr="00501161">
        <w:rPr>
          <w:rFonts w:ascii="Arial" w:hAnsi="Arial" w:cs="Arial"/>
          <w:sz w:val="22"/>
          <w:szCs w:val="22"/>
        </w:rPr>
        <w:t>ys for home contents policies.</w:t>
      </w:r>
      <w:r w:rsidR="0095133B">
        <w:rPr>
          <w:rStyle w:val="FootnoteReference"/>
          <w:rFonts w:ascii="Arial" w:hAnsi="Arial" w:cs="Arial"/>
          <w:sz w:val="22"/>
          <w:szCs w:val="22"/>
        </w:rPr>
        <w:footnoteReference w:id="10"/>
      </w:r>
    </w:p>
    <w:p w:rsidR="0080075E" w:rsidRPr="00501161" w:rsidRDefault="0080075E" w:rsidP="00983BFC">
      <w:pPr>
        <w:spacing w:line="276" w:lineRule="auto"/>
        <w:ind w:left="720" w:right="-96"/>
        <w:jc w:val="both"/>
        <w:rPr>
          <w:rFonts w:ascii="Arial" w:hAnsi="Arial" w:cs="Arial"/>
          <w:sz w:val="22"/>
          <w:szCs w:val="22"/>
        </w:rPr>
      </w:pPr>
    </w:p>
    <w:p w:rsidR="00983BFC" w:rsidRPr="00501161" w:rsidRDefault="00983BFC" w:rsidP="00674E81">
      <w:pPr>
        <w:spacing w:line="276" w:lineRule="auto"/>
        <w:ind w:right="-96"/>
        <w:jc w:val="both"/>
        <w:rPr>
          <w:rFonts w:ascii="Arial" w:hAnsi="Arial" w:cs="Arial"/>
          <w:sz w:val="22"/>
          <w:szCs w:val="22"/>
        </w:rPr>
      </w:pPr>
      <w:r w:rsidRPr="00501161">
        <w:rPr>
          <w:rFonts w:ascii="Arial" w:hAnsi="Arial" w:cs="Arial"/>
          <w:sz w:val="22"/>
          <w:szCs w:val="22"/>
        </w:rPr>
        <w:t xml:space="preserve">Insurers have an interest in bundling these products to increase sales and dampen the incentive for consumers to properly compare each policy.  This </w:t>
      </w:r>
      <w:r w:rsidR="006E5E7D" w:rsidRPr="00501161">
        <w:rPr>
          <w:rFonts w:ascii="Arial" w:hAnsi="Arial" w:cs="Arial"/>
          <w:sz w:val="22"/>
          <w:szCs w:val="22"/>
        </w:rPr>
        <w:t xml:space="preserve">sort of </w:t>
      </w:r>
      <w:r w:rsidRPr="00501161">
        <w:rPr>
          <w:rFonts w:ascii="Arial" w:hAnsi="Arial" w:cs="Arial"/>
          <w:sz w:val="22"/>
          <w:szCs w:val="22"/>
        </w:rPr>
        <w:t xml:space="preserve">bundling can </w:t>
      </w:r>
      <w:r w:rsidR="006E5E7D" w:rsidRPr="00501161">
        <w:rPr>
          <w:rFonts w:ascii="Arial" w:hAnsi="Arial" w:cs="Arial"/>
          <w:sz w:val="22"/>
          <w:szCs w:val="22"/>
        </w:rPr>
        <w:t xml:space="preserve">potentially </w:t>
      </w:r>
      <w:r w:rsidRPr="00501161">
        <w:rPr>
          <w:rFonts w:ascii="Arial" w:hAnsi="Arial" w:cs="Arial"/>
          <w:sz w:val="22"/>
          <w:szCs w:val="22"/>
        </w:rPr>
        <w:t>save consumers money in the form of a discount for hol</w:t>
      </w:r>
      <w:r w:rsidR="006E5E7D" w:rsidRPr="00501161">
        <w:rPr>
          <w:rFonts w:ascii="Arial" w:hAnsi="Arial" w:cs="Arial"/>
          <w:sz w:val="22"/>
          <w:szCs w:val="22"/>
        </w:rPr>
        <w:t>d</w:t>
      </w:r>
      <w:r w:rsidRPr="00501161">
        <w:rPr>
          <w:rFonts w:ascii="Arial" w:hAnsi="Arial" w:cs="Arial"/>
          <w:sz w:val="22"/>
          <w:szCs w:val="22"/>
        </w:rPr>
        <w:t>ing more than one policy with an insurer, but it can also</w:t>
      </w:r>
      <w:r w:rsidR="006E5E7D" w:rsidRPr="00501161">
        <w:rPr>
          <w:rFonts w:ascii="Arial" w:hAnsi="Arial" w:cs="Arial"/>
          <w:sz w:val="22"/>
          <w:szCs w:val="22"/>
        </w:rPr>
        <w:t xml:space="preserve"> </w:t>
      </w:r>
      <w:r w:rsidRPr="00501161">
        <w:rPr>
          <w:rFonts w:ascii="Arial" w:hAnsi="Arial" w:cs="Arial"/>
          <w:sz w:val="22"/>
          <w:szCs w:val="22"/>
        </w:rPr>
        <w:t xml:space="preserve">cost consumers money if it dampens competition in one or </w:t>
      </w:r>
      <w:r w:rsidR="006E5E7D" w:rsidRPr="00501161">
        <w:rPr>
          <w:rFonts w:ascii="Arial" w:hAnsi="Arial" w:cs="Arial"/>
          <w:sz w:val="22"/>
          <w:szCs w:val="22"/>
        </w:rPr>
        <w:t>both</w:t>
      </w:r>
      <w:r w:rsidRPr="00501161">
        <w:rPr>
          <w:rFonts w:ascii="Arial" w:hAnsi="Arial" w:cs="Arial"/>
          <w:sz w:val="22"/>
          <w:szCs w:val="22"/>
        </w:rPr>
        <w:t xml:space="preserve"> of the policy types.  Thus, while insurers should of course be allowed to continue to offer packages or incentives to consumers to purchase both policies with the one insurer, to drive better outcomes overall this must be balanced by facilitating consumers shopping around on both policies, not merely on one with the other choice following automatically.  </w:t>
      </w:r>
      <w:r w:rsidR="0080075E" w:rsidRPr="00501161">
        <w:rPr>
          <w:rFonts w:ascii="Arial" w:hAnsi="Arial" w:cs="Arial"/>
          <w:sz w:val="22"/>
          <w:szCs w:val="22"/>
        </w:rPr>
        <w:t xml:space="preserve">Without this, insurers </w:t>
      </w:r>
      <w:r w:rsidRPr="00501161">
        <w:rPr>
          <w:rFonts w:ascii="Arial" w:hAnsi="Arial" w:cs="Arial"/>
          <w:sz w:val="22"/>
          <w:szCs w:val="22"/>
        </w:rPr>
        <w:t xml:space="preserve">would </w:t>
      </w:r>
      <w:r w:rsidR="0080075E" w:rsidRPr="00501161">
        <w:rPr>
          <w:rFonts w:ascii="Arial" w:hAnsi="Arial" w:cs="Arial"/>
          <w:sz w:val="22"/>
          <w:szCs w:val="22"/>
        </w:rPr>
        <w:t>also be</w:t>
      </w:r>
      <w:r w:rsidRPr="00501161">
        <w:rPr>
          <w:rFonts w:ascii="Arial" w:hAnsi="Arial" w:cs="Arial"/>
          <w:sz w:val="22"/>
          <w:szCs w:val="22"/>
        </w:rPr>
        <w:t xml:space="preserve"> encourage</w:t>
      </w:r>
      <w:r w:rsidR="0080075E" w:rsidRPr="00501161">
        <w:rPr>
          <w:rFonts w:ascii="Arial" w:hAnsi="Arial" w:cs="Arial"/>
          <w:sz w:val="22"/>
          <w:szCs w:val="22"/>
        </w:rPr>
        <w:t>d to, in a sense,</w:t>
      </w:r>
      <w:r w:rsidRPr="00501161">
        <w:rPr>
          <w:rFonts w:ascii="Arial" w:hAnsi="Arial" w:cs="Arial"/>
          <w:sz w:val="22"/>
          <w:szCs w:val="22"/>
        </w:rPr>
        <w:t xml:space="preserve"> "loss lead" to some extent with one type of policy.</w:t>
      </w:r>
    </w:p>
    <w:p w:rsidR="00B462AD" w:rsidRPr="00501161" w:rsidRDefault="00B462AD" w:rsidP="005752DD">
      <w:pPr>
        <w:spacing w:line="276" w:lineRule="auto"/>
        <w:ind w:left="720" w:right="-96"/>
        <w:jc w:val="both"/>
        <w:rPr>
          <w:rFonts w:ascii="Arial" w:hAnsi="Arial" w:cs="Arial"/>
          <w:sz w:val="22"/>
          <w:szCs w:val="22"/>
        </w:rPr>
      </w:pPr>
    </w:p>
    <w:p w:rsidR="006E5E7D" w:rsidRPr="00501161" w:rsidDel="006E5E7D" w:rsidRDefault="00B462AD" w:rsidP="00674E81">
      <w:pPr>
        <w:spacing w:line="276" w:lineRule="auto"/>
        <w:ind w:right="-96"/>
        <w:jc w:val="both"/>
        <w:rPr>
          <w:rFonts w:ascii="Arial" w:hAnsi="Arial" w:cs="Arial"/>
          <w:sz w:val="22"/>
          <w:szCs w:val="22"/>
        </w:rPr>
      </w:pPr>
      <w:r w:rsidRPr="00501161">
        <w:rPr>
          <w:rFonts w:ascii="Arial" w:hAnsi="Arial" w:cs="Arial"/>
          <w:sz w:val="22"/>
          <w:szCs w:val="22"/>
        </w:rPr>
        <w:t xml:space="preserve">We </w:t>
      </w:r>
      <w:r w:rsidR="006E5E7D" w:rsidRPr="00501161">
        <w:rPr>
          <w:rFonts w:ascii="Arial" w:hAnsi="Arial" w:cs="Arial"/>
          <w:sz w:val="22"/>
          <w:szCs w:val="22"/>
        </w:rPr>
        <w:t xml:space="preserve">also </w:t>
      </w:r>
      <w:r w:rsidRPr="00501161">
        <w:rPr>
          <w:rFonts w:ascii="Arial" w:hAnsi="Arial" w:cs="Arial"/>
          <w:sz w:val="22"/>
          <w:szCs w:val="22"/>
        </w:rPr>
        <w:t>believe that combining a key facts statement for the two types of policies will make it harder for the consumer to notice and understand the most important features of each policy</w:t>
      </w:r>
      <w:r w:rsidR="00C32F57" w:rsidRPr="00501161">
        <w:rPr>
          <w:rFonts w:ascii="Arial" w:hAnsi="Arial" w:cs="Arial"/>
          <w:sz w:val="22"/>
          <w:szCs w:val="22"/>
        </w:rPr>
        <w:t>.</w:t>
      </w:r>
      <w:r w:rsidRPr="00501161">
        <w:rPr>
          <w:rFonts w:ascii="Arial" w:hAnsi="Arial" w:cs="Arial"/>
          <w:sz w:val="22"/>
          <w:szCs w:val="22"/>
        </w:rPr>
        <w:t xml:space="preserve"> </w:t>
      </w:r>
      <w:r w:rsidR="00C32F57" w:rsidRPr="00501161">
        <w:rPr>
          <w:rFonts w:ascii="Arial" w:hAnsi="Arial" w:cs="Arial"/>
          <w:sz w:val="22"/>
          <w:szCs w:val="22"/>
        </w:rPr>
        <w:t xml:space="preserve"> </w:t>
      </w:r>
      <w:r w:rsidR="00C32F57" w:rsidRPr="00501161">
        <w:rPr>
          <w:rFonts w:ascii="Arial" w:hAnsi="Arial" w:cs="Arial"/>
          <w:sz w:val="22"/>
          <w:szCs w:val="22"/>
        </w:rPr>
        <w:lastRenderedPageBreak/>
        <w:t>F</w:t>
      </w:r>
      <w:r w:rsidRPr="00501161">
        <w:rPr>
          <w:rFonts w:ascii="Arial" w:hAnsi="Arial" w:cs="Arial"/>
          <w:sz w:val="22"/>
          <w:szCs w:val="22"/>
        </w:rPr>
        <w:t>or example, whether a policy is sum insured or total replacement is only rel</w:t>
      </w:r>
      <w:r w:rsidR="00C32F57" w:rsidRPr="00501161">
        <w:rPr>
          <w:rFonts w:ascii="Arial" w:hAnsi="Arial" w:cs="Arial"/>
          <w:sz w:val="22"/>
          <w:szCs w:val="22"/>
        </w:rPr>
        <w:t xml:space="preserve">evant to home </w:t>
      </w:r>
      <w:r w:rsidR="001A4A77">
        <w:rPr>
          <w:rFonts w:ascii="Arial" w:hAnsi="Arial" w:cs="Arial"/>
          <w:sz w:val="22"/>
          <w:szCs w:val="22"/>
        </w:rPr>
        <w:t>building policies.</w:t>
      </w:r>
      <w:r w:rsidR="00C32F57" w:rsidRPr="00501161">
        <w:rPr>
          <w:rFonts w:ascii="Arial" w:hAnsi="Arial" w:cs="Arial"/>
          <w:sz w:val="22"/>
          <w:szCs w:val="22"/>
        </w:rPr>
        <w:t xml:space="preserve"> </w:t>
      </w:r>
      <w:r w:rsidR="001A4A77">
        <w:rPr>
          <w:rFonts w:ascii="Arial" w:hAnsi="Arial" w:cs="Arial"/>
          <w:sz w:val="22"/>
          <w:szCs w:val="22"/>
        </w:rPr>
        <w:t>E</w:t>
      </w:r>
      <w:r w:rsidR="00C32F57" w:rsidRPr="00501161">
        <w:rPr>
          <w:rFonts w:ascii="Arial" w:hAnsi="Arial" w:cs="Arial"/>
          <w:sz w:val="22"/>
          <w:szCs w:val="22"/>
        </w:rPr>
        <w:t>xclusions or damage types covered must be set out for both policy types, inc</w:t>
      </w:r>
      <w:r w:rsidR="001A4A77">
        <w:rPr>
          <w:rFonts w:ascii="Arial" w:hAnsi="Arial" w:cs="Arial"/>
          <w:sz w:val="22"/>
          <w:szCs w:val="22"/>
        </w:rPr>
        <w:t>reasing the clutter on the page if combined - and i</w:t>
      </w:r>
      <w:r w:rsidR="006E5E7D" w:rsidRPr="00501161">
        <w:rPr>
          <w:rFonts w:ascii="Arial" w:hAnsi="Arial" w:cs="Arial"/>
          <w:sz w:val="22"/>
          <w:szCs w:val="22"/>
        </w:rPr>
        <w:t xml:space="preserve">t is not only the amount and type of the content in the key facts sheet that will be important to its ease of reading and comprehension, but also its layout and elements such as the amount of "white space".  </w:t>
      </w:r>
      <w:r w:rsidR="001A4A77">
        <w:rPr>
          <w:rFonts w:ascii="Arial" w:hAnsi="Arial" w:cs="Arial"/>
          <w:sz w:val="22"/>
          <w:szCs w:val="22"/>
        </w:rPr>
        <w:t>Further, we suggest that special benefit limits might also be treated differently in the key facts statements for the two different policies (see below).</w:t>
      </w:r>
    </w:p>
    <w:p w:rsidR="001A4A77" w:rsidRDefault="001A4A77" w:rsidP="00674E81">
      <w:pPr>
        <w:spacing w:line="276" w:lineRule="auto"/>
        <w:ind w:right="-96"/>
        <w:jc w:val="both"/>
        <w:rPr>
          <w:rFonts w:ascii="Arial" w:hAnsi="Arial" w:cs="Arial"/>
          <w:sz w:val="22"/>
          <w:szCs w:val="22"/>
        </w:rPr>
      </w:pPr>
    </w:p>
    <w:p w:rsidR="008721C4" w:rsidRPr="00501161" w:rsidRDefault="006E5E7D" w:rsidP="00674E81">
      <w:pPr>
        <w:spacing w:line="276" w:lineRule="auto"/>
        <w:ind w:right="-96"/>
        <w:jc w:val="both"/>
        <w:rPr>
          <w:rFonts w:ascii="Arial" w:hAnsi="Arial" w:cs="Arial"/>
          <w:sz w:val="22"/>
          <w:szCs w:val="22"/>
        </w:rPr>
      </w:pPr>
      <w:r w:rsidRPr="00501161">
        <w:rPr>
          <w:rFonts w:ascii="Arial" w:hAnsi="Arial" w:cs="Arial"/>
          <w:sz w:val="22"/>
          <w:szCs w:val="22"/>
        </w:rPr>
        <w:t>T</w:t>
      </w:r>
      <w:r w:rsidR="001A4A77">
        <w:rPr>
          <w:rFonts w:ascii="Arial" w:hAnsi="Arial" w:cs="Arial"/>
          <w:sz w:val="22"/>
          <w:szCs w:val="22"/>
        </w:rPr>
        <w:t>hese</w:t>
      </w:r>
      <w:r w:rsidR="00565C6D" w:rsidRPr="00501161">
        <w:rPr>
          <w:rFonts w:ascii="Arial" w:hAnsi="Arial" w:cs="Arial"/>
          <w:sz w:val="22"/>
          <w:szCs w:val="22"/>
        </w:rPr>
        <w:t xml:space="preserve"> issue</w:t>
      </w:r>
      <w:r w:rsidR="001A4A77">
        <w:rPr>
          <w:rFonts w:ascii="Arial" w:hAnsi="Arial" w:cs="Arial"/>
          <w:sz w:val="22"/>
          <w:szCs w:val="22"/>
        </w:rPr>
        <w:t>s</w:t>
      </w:r>
      <w:r w:rsidR="00565C6D" w:rsidRPr="00501161">
        <w:rPr>
          <w:rFonts w:ascii="Arial" w:hAnsi="Arial" w:cs="Arial"/>
          <w:sz w:val="22"/>
          <w:szCs w:val="22"/>
        </w:rPr>
        <w:t xml:space="preserve"> </w:t>
      </w:r>
      <w:r w:rsidRPr="00501161">
        <w:rPr>
          <w:rFonts w:ascii="Arial" w:hAnsi="Arial" w:cs="Arial"/>
          <w:sz w:val="22"/>
          <w:szCs w:val="22"/>
        </w:rPr>
        <w:t>c</w:t>
      </w:r>
      <w:r w:rsidR="00565C6D" w:rsidRPr="00501161">
        <w:rPr>
          <w:rFonts w:ascii="Arial" w:hAnsi="Arial" w:cs="Arial"/>
          <w:sz w:val="22"/>
          <w:szCs w:val="22"/>
        </w:rPr>
        <w:t xml:space="preserve">ould be </w:t>
      </w:r>
      <w:r w:rsidRPr="00501161">
        <w:rPr>
          <w:rFonts w:ascii="Arial" w:hAnsi="Arial" w:cs="Arial"/>
          <w:sz w:val="22"/>
          <w:szCs w:val="22"/>
        </w:rPr>
        <w:t xml:space="preserve">further </w:t>
      </w:r>
      <w:r w:rsidR="00565C6D" w:rsidRPr="00501161">
        <w:rPr>
          <w:rFonts w:ascii="Arial" w:hAnsi="Arial" w:cs="Arial"/>
          <w:sz w:val="22"/>
          <w:szCs w:val="22"/>
        </w:rPr>
        <w:t>investigated during product testing.</w:t>
      </w:r>
    </w:p>
    <w:p w:rsidR="008721C4" w:rsidRPr="00501161" w:rsidRDefault="008721C4" w:rsidP="005752DD">
      <w:pPr>
        <w:spacing w:line="276" w:lineRule="auto"/>
        <w:ind w:left="720" w:right="-96"/>
        <w:jc w:val="both"/>
        <w:rPr>
          <w:rFonts w:ascii="Arial" w:hAnsi="Arial" w:cs="Arial"/>
          <w:sz w:val="22"/>
          <w:szCs w:val="22"/>
        </w:rPr>
      </w:pPr>
    </w:p>
    <w:p w:rsidR="00565C6D" w:rsidRPr="00501161" w:rsidRDefault="00262E2F" w:rsidP="007A7727">
      <w:pPr>
        <w:spacing w:line="276" w:lineRule="auto"/>
        <w:ind w:right="-96"/>
        <w:jc w:val="both"/>
        <w:rPr>
          <w:rFonts w:ascii="Arial" w:hAnsi="Arial" w:cs="Arial"/>
          <w:i/>
          <w:sz w:val="22"/>
          <w:szCs w:val="22"/>
        </w:rPr>
      </w:pPr>
      <w:r w:rsidRPr="00501161">
        <w:rPr>
          <w:rFonts w:ascii="Arial" w:hAnsi="Arial" w:cs="Arial"/>
          <w:i/>
          <w:sz w:val="22"/>
          <w:szCs w:val="22"/>
        </w:rPr>
        <w:t>Is the proposed treat</w:t>
      </w:r>
      <w:r w:rsidR="007A7727" w:rsidRPr="00501161">
        <w:rPr>
          <w:rFonts w:ascii="Arial" w:hAnsi="Arial" w:cs="Arial"/>
          <w:i/>
          <w:sz w:val="22"/>
          <w:szCs w:val="22"/>
        </w:rPr>
        <w:t>ment of policy type [discussed at paragraphs 58-60] appropriate?</w:t>
      </w:r>
    </w:p>
    <w:p w:rsidR="00E74616" w:rsidRPr="00501161" w:rsidRDefault="00E74616" w:rsidP="005752DD">
      <w:pPr>
        <w:spacing w:line="276" w:lineRule="auto"/>
        <w:ind w:left="720" w:right="-96"/>
        <w:jc w:val="both"/>
        <w:rPr>
          <w:rFonts w:ascii="Arial" w:hAnsi="Arial" w:cs="Arial"/>
          <w:sz w:val="22"/>
          <w:szCs w:val="22"/>
        </w:rPr>
      </w:pPr>
    </w:p>
    <w:p w:rsidR="00E74616" w:rsidRPr="00501161" w:rsidRDefault="00E74616" w:rsidP="00CB469C">
      <w:pPr>
        <w:spacing w:line="276" w:lineRule="auto"/>
        <w:ind w:right="-96"/>
        <w:jc w:val="both"/>
        <w:rPr>
          <w:rFonts w:ascii="Arial" w:hAnsi="Arial" w:cs="Arial"/>
          <w:sz w:val="22"/>
          <w:szCs w:val="22"/>
        </w:rPr>
      </w:pPr>
      <w:r w:rsidRPr="00501161">
        <w:rPr>
          <w:rFonts w:ascii="Arial" w:hAnsi="Arial" w:cs="Arial"/>
          <w:sz w:val="22"/>
          <w:szCs w:val="22"/>
        </w:rPr>
        <w:t xml:space="preserve">We agree with the Government that the type of policy - sum insured or replacement </w:t>
      </w:r>
      <w:r w:rsidR="00EC1492" w:rsidRPr="00501161">
        <w:rPr>
          <w:rFonts w:ascii="Arial" w:hAnsi="Arial" w:cs="Arial"/>
          <w:sz w:val="22"/>
          <w:szCs w:val="22"/>
        </w:rPr>
        <w:t xml:space="preserve">cover </w:t>
      </w:r>
      <w:r w:rsidRPr="00501161">
        <w:rPr>
          <w:rFonts w:ascii="Arial" w:hAnsi="Arial" w:cs="Arial"/>
          <w:sz w:val="22"/>
          <w:szCs w:val="22"/>
        </w:rPr>
        <w:t xml:space="preserve">- </w:t>
      </w:r>
      <w:r w:rsidR="00EC1492" w:rsidRPr="00501161">
        <w:rPr>
          <w:rFonts w:ascii="Arial" w:hAnsi="Arial" w:cs="Arial"/>
          <w:sz w:val="22"/>
          <w:szCs w:val="22"/>
        </w:rPr>
        <w:t>is one of the most important features that consumers should be aware of when considering a home building policy.  We strongly support the proposal to require the type of policy to be disclosed in a simple and clear fashion toward the top of the statement.</w:t>
      </w:r>
    </w:p>
    <w:p w:rsidR="00EC1492" w:rsidRPr="00501161" w:rsidRDefault="00EC1492" w:rsidP="005752DD">
      <w:pPr>
        <w:spacing w:line="276" w:lineRule="auto"/>
        <w:ind w:left="720" w:right="-96"/>
        <w:jc w:val="both"/>
        <w:rPr>
          <w:rFonts w:ascii="Arial" w:hAnsi="Arial" w:cs="Arial"/>
          <w:sz w:val="22"/>
          <w:szCs w:val="22"/>
        </w:rPr>
      </w:pPr>
    </w:p>
    <w:p w:rsidR="00D35760" w:rsidRPr="00501161" w:rsidRDefault="00D35760" w:rsidP="00CB469C">
      <w:pPr>
        <w:spacing w:line="276" w:lineRule="auto"/>
        <w:ind w:right="-96"/>
        <w:jc w:val="both"/>
        <w:rPr>
          <w:rFonts w:ascii="Arial" w:hAnsi="Arial" w:cs="Arial"/>
          <w:sz w:val="22"/>
          <w:szCs w:val="22"/>
        </w:rPr>
      </w:pPr>
      <w:r w:rsidRPr="00501161">
        <w:rPr>
          <w:rFonts w:ascii="Arial" w:hAnsi="Arial" w:cs="Arial"/>
          <w:sz w:val="22"/>
          <w:szCs w:val="22"/>
        </w:rPr>
        <w:t>W</w:t>
      </w:r>
      <w:r w:rsidR="00EC1492" w:rsidRPr="00501161">
        <w:rPr>
          <w:rFonts w:ascii="Arial" w:hAnsi="Arial" w:cs="Arial"/>
          <w:sz w:val="22"/>
          <w:szCs w:val="22"/>
        </w:rPr>
        <w:t xml:space="preserve">e also agree that simply stating the type of policy alone will not </w:t>
      </w:r>
      <w:r w:rsidRPr="00501161">
        <w:rPr>
          <w:rFonts w:ascii="Arial" w:hAnsi="Arial" w:cs="Arial"/>
          <w:sz w:val="22"/>
          <w:szCs w:val="22"/>
        </w:rPr>
        <w:t>be sufficient</w:t>
      </w:r>
      <w:r w:rsidR="00EC1492" w:rsidRPr="00501161">
        <w:rPr>
          <w:rFonts w:ascii="Arial" w:hAnsi="Arial" w:cs="Arial"/>
          <w:sz w:val="22"/>
          <w:szCs w:val="22"/>
        </w:rPr>
        <w:t>,</w:t>
      </w:r>
      <w:r w:rsidRPr="00501161">
        <w:rPr>
          <w:rFonts w:ascii="Arial" w:hAnsi="Arial" w:cs="Arial"/>
          <w:sz w:val="22"/>
          <w:szCs w:val="22"/>
        </w:rPr>
        <w:t xml:space="preserve"> because</w:t>
      </w:r>
      <w:r w:rsidR="00EC1492" w:rsidRPr="00501161">
        <w:rPr>
          <w:rFonts w:ascii="Arial" w:hAnsi="Arial" w:cs="Arial"/>
          <w:sz w:val="22"/>
          <w:szCs w:val="22"/>
        </w:rPr>
        <w:t xml:space="preserve"> most consumers will be unaware of the</w:t>
      </w:r>
      <w:r w:rsidRPr="00501161">
        <w:rPr>
          <w:rFonts w:ascii="Arial" w:hAnsi="Arial" w:cs="Arial"/>
          <w:sz w:val="22"/>
          <w:szCs w:val="22"/>
        </w:rPr>
        <w:t xml:space="preserve"> meaning and</w:t>
      </w:r>
      <w:r w:rsidR="00EC1492" w:rsidRPr="00501161">
        <w:rPr>
          <w:rFonts w:ascii="Arial" w:hAnsi="Arial" w:cs="Arial"/>
          <w:sz w:val="22"/>
          <w:szCs w:val="22"/>
        </w:rPr>
        <w:t xml:space="preserve"> difference between the policy types. </w:t>
      </w:r>
      <w:r w:rsidRPr="00501161">
        <w:rPr>
          <w:rFonts w:ascii="Arial" w:hAnsi="Arial" w:cs="Arial"/>
          <w:sz w:val="22"/>
          <w:szCs w:val="22"/>
        </w:rPr>
        <w:t xml:space="preserve"> However, we do </w:t>
      </w:r>
      <w:r w:rsidR="002E3B3D" w:rsidRPr="00501161">
        <w:rPr>
          <w:rFonts w:ascii="Arial" w:hAnsi="Arial" w:cs="Arial"/>
          <w:sz w:val="22"/>
          <w:szCs w:val="22"/>
        </w:rPr>
        <w:t xml:space="preserve">not </w:t>
      </w:r>
      <w:r w:rsidRPr="00501161">
        <w:rPr>
          <w:rFonts w:ascii="Arial" w:hAnsi="Arial" w:cs="Arial"/>
          <w:sz w:val="22"/>
          <w:szCs w:val="22"/>
        </w:rPr>
        <w:t>believe that the proposed description of 'covered amount'</w:t>
      </w:r>
      <w:r w:rsidR="00601723" w:rsidRPr="00501161">
        <w:rPr>
          <w:rFonts w:ascii="Arial" w:hAnsi="Arial" w:cs="Arial"/>
          <w:sz w:val="22"/>
          <w:szCs w:val="22"/>
        </w:rPr>
        <w:t xml:space="preserve"> alone</w:t>
      </w:r>
      <w:r w:rsidRPr="00501161">
        <w:rPr>
          <w:rFonts w:ascii="Arial" w:hAnsi="Arial" w:cs="Arial"/>
          <w:sz w:val="22"/>
          <w:szCs w:val="22"/>
        </w:rPr>
        <w:t xml:space="preserve"> will address this problem, because it is not directly related to the policy type section.  A  generic description of the policy types on the reverse side </w:t>
      </w:r>
      <w:r w:rsidR="00497405" w:rsidRPr="00501161">
        <w:rPr>
          <w:rFonts w:ascii="Arial" w:hAnsi="Arial" w:cs="Arial"/>
          <w:sz w:val="22"/>
          <w:szCs w:val="22"/>
        </w:rPr>
        <w:t xml:space="preserve">of the statement </w:t>
      </w:r>
      <w:r w:rsidRPr="00501161">
        <w:rPr>
          <w:rFonts w:ascii="Arial" w:hAnsi="Arial" w:cs="Arial"/>
          <w:sz w:val="22"/>
          <w:szCs w:val="22"/>
        </w:rPr>
        <w:t>is even more unlikely to be read or considered by most consumers (and if online, will appear further down the page in a larger section of text, thus again is unlikely to be considered by readers).</w:t>
      </w:r>
      <w:r w:rsidR="00EC1492" w:rsidRPr="00501161">
        <w:rPr>
          <w:rFonts w:ascii="Arial" w:hAnsi="Arial" w:cs="Arial"/>
          <w:sz w:val="22"/>
          <w:szCs w:val="22"/>
        </w:rPr>
        <w:t xml:space="preserve"> </w:t>
      </w:r>
    </w:p>
    <w:p w:rsidR="00D35760" w:rsidRPr="00501161" w:rsidRDefault="00D35760" w:rsidP="005752DD">
      <w:pPr>
        <w:spacing w:line="276" w:lineRule="auto"/>
        <w:ind w:left="720" w:right="-96"/>
        <w:jc w:val="both"/>
        <w:rPr>
          <w:rFonts w:ascii="Arial" w:hAnsi="Arial" w:cs="Arial"/>
          <w:sz w:val="22"/>
          <w:szCs w:val="22"/>
        </w:rPr>
      </w:pPr>
    </w:p>
    <w:p w:rsidR="00D35760" w:rsidRDefault="00942031" w:rsidP="00CB469C">
      <w:pPr>
        <w:spacing w:line="276" w:lineRule="auto"/>
        <w:ind w:right="-96"/>
        <w:jc w:val="both"/>
        <w:rPr>
          <w:rFonts w:ascii="Arial" w:hAnsi="Arial" w:cs="Arial"/>
          <w:sz w:val="22"/>
          <w:szCs w:val="22"/>
        </w:rPr>
      </w:pPr>
      <w:r w:rsidRPr="00501161">
        <w:rPr>
          <w:rFonts w:ascii="Arial" w:hAnsi="Arial" w:cs="Arial"/>
          <w:sz w:val="22"/>
          <w:szCs w:val="22"/>
        </w:rPr>
        <w:t>We suggest adding a very brief definition</w:t>
      </w:r>
      <w:r w:rsidR="00565C6D" w:rsidRPr="00501161">
        <w:rPr>
          <w:rFonts w:ascii="Arial" w:hAnsi="Arial" w:cs="Arial"/>
          <w:sz w:val="22"/>
          <w:szCs w:val="22"/>
        </w:rPr>
        <w:t xml:space="preserve"> of </w:t>
      </w:r>
      <w:r w:rsidRPr="00501161">
        <w:rPr>
          <w:rFonts w:ascii="Arial" w:hAnsi="Arial" w:cs="Arial"/>
          <w:sz w:val="22"/>
          <w:szCs w:val="22"/>
        </w:rPr>
        <w:t>each option in the 'policy type' section</w:t>
      </w:r>
      <w:r w:rsidR="00D35760" w:rsidRPr="00501161">
        <w:rPr>
          <w:rFonts w:ascii="Arial" w:hAnsi="Arial" w:cs="Arial"/>
          <w:sz w:val="22"/>
          <w:szCs w:val="22"/>
        </w:rPr>
        <w:t xml:space="preserve"> itself</w:t>
      </w:r>
      <w:r w:rsidRPr="00501161">
        <w:rPr>
          <w:rFonts w:ascii="Arial" w:hAnsi="Arial" w:cs="Arial"/>
          <w:sz w:val="22"/>
          <w:szCs w:val="22"/>
        </w:rPr>
        <w:t>.</w:t>
      </w:r>
      <w:r w:rsidR="00450D93" w:rsidRPr="00501161">
        <w:rPr>
          <w:rFonts w:ascii="Arial" w:hAnsi="Arial" w:cs="Arial"/>
          <w:sz w:val="22"/>
          <w:szCs w:val="22"/>
        </w:rPr>
        <w:t xml:space="preserve">  </w:t>
      </w:r>
      <w:r w:rsidRPr="00501161">
        <w:rPr>
          <w:rFonts w:ascii="Arial" w:hAnsi="Arial" w:cs="Arial"/>
          <w:sz w:val="22"/>
          <w:szCs w:val="22"/>
        </w:rPr>
        <w:t xml:space="preserve">As well as giving </w:t>
      </w:r>
      <w:r w:rsidR="00785040" w:rsidRPr="00501161">
        <w:rPr>
          <w:rFonts w:ascii="Arial" w:hAnsi="Arial" w:cs="Arial"/>
          <w:sz w:val="22"/>
          <w:szCs w:val="22"/>
        </w:rPr>
        <w:t>consumers a better idea of what each policy type is, this section should be used to encourage consumers to consider the merits of total replacement policies.</w:t>
      </w:r>
      <w:r w:rsidR="005119BF" w:rsidRPr="00501161">
        <w:rPr>
          <w:rFonts w:ascii="Arial" w:hAnsi="Arial" w:cs="Arial"/>
          <w:sz w:val="22"/>
          <w:szCs w:val="22"/>
        </w:rPr>
        <w:t xml:space="preserve">  This might look something like:</w:t>
      </w:r>
    </w:p>
    <w:p w:rsidR="00CB469C" w:rsidRPr="00501161" w:rsidRDefault="00CB469C" w:rsidP="00CB469C">
      <w:pPr>
        <w:spacing w:line="276" w:lineRule="auto"/>
        <w:ind w:right="-96"/>
        <w:jc w:val="both"/>
        <w:rPr>
          <w:rFonts w:ascii="Arial" w:hAnsi="Arial" w:cs="Arial"/>
          <w:sz w:val="22"/>
          <w:szCs w:val="22"/>
        </w:rPr>
      </w:pPr>
    </w:p>
    <w:tbl>
      <w:tblPr>
        <w:tblStyle w:val="TableGrid"/>
        <w:tblW w:w="9498" w:type="dxa"/>
        <w:tblInd w:w="108" w:type="dxa"/>
        <w:tblLook w:val="04A0"/>
      </w:tblPr>
      <w:tblGrid>
        <w:gridCol w:w="1656"/>
        <w:gridCol w:w="2127"/>
        <w:gridCol w:w="2880"/>
        <w:gridCol w:w="2835"/>
      </w:tblGrid>
      <w:tr w:rsidR="00D35760" w:rsidRPr="00501161" w:rsidTr="00CB469C">
        <w:tc>
          <w:tcPr>
            <w:tcW w:w="9498" w:type="dxa"/>
            <w:gridSpan w:val="4"/>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t>Description of your home insurance policy</w:t>
            </w:r>
          </w:p>
        </w:tc>
      </w:tr>
      <w:tr w:rsidR="00D35760" w:rsidRPr="00501161" w:rsidTr="00CB469C">
        <w:tc>
          <w:tcPr>
            <w:tcW w:w="1656" w:type="dxa"/>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t>Policy name</w:t>
            </w:r>
          </w:p>
        </w:tc>
        <w:tc>
          <w:tcPr>
            <w:tcW w:w="7842" w:type="dxa"/>
            <w:gridSpan w:val="3"/>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t>XYZ Home Building Classic</w:t>
            </w:r>
          </w:p>
        </w:tc>
      </w:tr>
      <w:tr w:rsidR="00D35760" w:rsidRPr="00501161" w:rsidTr="00CB469C">
        <w:tc>
          <w:tcPr>
            <w:tcW w:w="1656" w:type="dxa"/>
            <w:vMerge w:val="restart"/>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t>Policy type</w:t>
            </w:r>
          </w:p>
        </w:tc>
        <w:tc>
          <w:tcPr>
            <w:tcW w:w="2127" w:type="dxa"/>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sym w:font="Wingdings" w:char="F0FE"/>
            </w:r>
            <w:r w:rsidRPr="00501161">
              <w:rPr>
                <w:rFonts w:ascii="Arial" w:hAnsi="Arial" w:cs="Arial"/>
                <w:sz w:val="22"/>
                <w:szCs w:val="22"/>
              </w:rPr>
              <w:t xml:space="preserve"> Sum insured</w:t>
            </w:r>
          </w:p>
        </w:tc>
        <w:tc>
          <w:tcPr>
            <w:tcW w:w="2880" w:type="dxa"/>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sym w:font="Wingdings" w:char="F06F"/>
            </w:r>
            <w:r w:rsidRPr="00501161">
              <w:rPr>
                <w:rFonts w:ascii="Arial" w:hAnsi="Arial" w:cs="Arial"/>
                <w:sz w:val="22"/>
                <w:szCs w:val="22"/>
              </w:rPr>
              <w:t xml:space="preserve"> Sum </w:t>
            </w:r>
            <w:r w:rsidR="005119BF" w:rsidRPr="00501161">
              <w:rPr>
                <w:rFonts w:ascii="Arial" w:hAnsi="Arial" w:cs="Arial"/>
                <w:sz w:val="22"/>
                <w:szCs w:val="22"/>
              </w:rPr>
              <w:t>insured</w:t>
            </w:r>
            <w:r w:rsidRPr="00501161">
              <w:rPr>
                <w:rFonts w:ascii="Arial" w:hAnsi="Arial" w:cs="Arial"/>
                <w:sz w:val="22"/>
                <w:szCs w:val="22"/>
              </w:rPr>
              <w:t xml:space="preserve"> plus margin</w:t>
            </w:r>
          </w:p>
        </w:tc>
        <w:tc>
          <w:tcPr>
            <w:tcW w:w="2835" w:type="dxa"/>
          </w:tcPr>
          <w:p w:rsidR="00D35760" w:rsidRPr="00501161" w:rsidRDefault="00D35760" w:rsidP="005752DD">
            <w:pPr>
              <w:spacing w:line="276" w:lineRule="auto"/>
              <w:ind w:right="-96"/>
              <w:jc w:val="both"/>
              <w:rPr>
                <w:rFonts w:ascii="Arial" w:hAnsi="Arial" w:cs="Arial"/>
                <w:sz w:val="22"/>
                <w:szCs w:val="22"/>
              </w:rPr>
            </w:pPr>
            <w:r w:rsidRPr="00501161">
              <w:rPr>
                <w:rFonts w:ascii="Arial" w:hAnsi="Arial" w:cs="Arial"/>
                <w:sz w:val="22"/>
                <w:szCs w:val="22"/>
              </w:rPr>
              <w:sym w:font="Wingdings" w:char="F06F"/>
            </w:r>
            <w:r w:rsidRPr="00501161">
              <w:rPr>
                <w:rFonts w:ascii="Arial" w:hAnsi="Arial" w:cs="Arial"/>
                <w:sz w:val="22"/>
                <w:szCs w:val="22"/>
              </w:rPr>
              <w:t xml:space="preserve"> Total replacement cost</w:t>
            </w:r>
          </w:p>
        </w:tc>
      </w:tr>
      <w:tr w:rsidR="00D35760" w:rsidRPr="00501161" w:rsidTr="00CB469C">
        <w:tc>
          <w:tcPr>
            <w:tcW w:w="1656" w:type="dxa"/>
            <w:vMerge/>
          </w:tcPr>
          <w:p w:rsidR="00D35760" w:rsidRPr="00501161" w:rsidRDefault="00D35760" w:rsidP="005752DD">
            <w:pPr>
              <w:spacing w:line="276" w:lineRule="auto"/>
              <w:ind w:right="-96"/>
              <w:jc w:val="both"/>
              <w:rPr>
                <w:rFonts w:ascii="Arial" w:hAnsi="Arial" w:cs="Arial"/>
                <w:sz w:val="22"/>
                <w:szCs w:val="22"/>
              </w:rPr>
            </w:pPr>
          </w:p>
        </w:tc>
        <w:tc>
          <w:tcPr>
            <w:tcW w:w="2127" w:type="dxa"/>
          </w:tcPr>
          <w:p w:rsidR="00D35760" w:rsidRPr="00501161" w:rsidRDefault="005119BF" w:rsidP="005752DD">
            <w:pPr>
              <w:spacing w:line="276" w:lineRule="auto"/>
              <w:ind w:right="-96"/>
              <w:jc w:val="both"/>
              <w:rPr>
                <w:rFonts w:ascii="Arial" w:hAnsi="Arial" w:cs="Arial"/>
                <w:sz w:val="22"/>
                <w:szCs w:val="22"/>
              </w:rPr>
            </w:pPr>
            <w:r w:rsidRPr="00501161">
              <w:rPr>
                <w:rFonts w:ascii="Arial" w:hAnsi="Arial" w:cs="Arial"/>
                <w:sz w:val="22"/>
                <w:szCs w:val="22"/>
              </w:rPr>
              <w:t>###</w:t>
            </w:r>
          </w:p>
        </w:tc>
        <w:tc>
          <w:tcPr>
            <w:tcW w:w="2880" w:type="dxa"/>
          </w:tcPr>
          <w:p w:rsidR="00D35760" w:rsidRPr="00501161" w:rsidRDefault="005119BF" w:rsidP="005752DD">
            <w:pPr>
              <w:spacing w:line="276" w:lineRule="auto"/>
              <w:ind w:right="-96"/>
              <w:jc w:val="both"/>
              <w:rPr>
                <w:rFonts w:ascii="Arial" w:hAnsi="Arial" w:cs="Arial"/>
                <w:sz w:val="22"/>
                <w:szCs w:val="22"/>
              </w:rPr>
            </w:pPr>
            <w:r w:rsidRPr="00501161">
              <w:rPr>
                <w:rFonts w:ascii="Arial" w:hAnsi="Arial" w:cs="Arial"/>
                <w:sz w:val="22"/>
                <w:szCs w:val="22"/>
              </w:rPr>
              <w:t>###</w:t>
            </w:r>
          </w:p>
        </w:tc>
        <w:tc>
          <w:tcPr>
            <w:tcW w:w="2835" w:type="dxa"/>
          </w:tcPr>
          <w:p w:rsidR="00D35760" w:rsidRPr="00501161" w:rsidRDefault="005119BF" w:rsidP="005752DD">
            <w:pPr>
              <w:spacing w:line="276" w:lineRule="auto"/>
              <w:ind w:right="-96"/>
              <w:jc w:val="both"/>
              <w:rPr>
                <w:rFonts w:ascii="Arial" w:hAnsi="Arial" w:cs="Arial"/>
                <w:sz w:val="22"/>
                <w:szCs w:val="22"/>
              </w:rPr>
            </w:pPr>
            <w:r w:rsidRPr="00501161">
              <w:rPr>
                <w:rFonts w:ascii="Arial" w:hAnsi="Arial" w:cs="Arial"/>
                <w:sz w:val="22"/>
                <w:szCs w:val="22"/>
              </w:rPr>
              <w:t>###</w:t>
            </w:r>
          </w:p>
        </w:tc>
      </w:tr>
    </w:tbl>
    <w:p w:rsidR="00D35760" w:rsidRPr="00501161" w:rsidRDefault="00D35760" w:rsidP="005752DD">
      <w:pPr>
        <w:spacing w:line="276" w:lineRule="auto"/>
        <w:ind w:left="720" w:right="-96"/>
        <w:jc w:val="both"/>
        <w:rPr>
          <w:rFonts w:ascii="Arial" w:hAnsi="Arial" w:cs="Arial"/>
          <w:sz w:val="22"/>
          <w:szCs w:val="22"/>
          <w:highlight w:val="yellow"/>
        </w:rPr>
      </w:pPr>
    </w:p>
    <w:p w:rsidR="005119BF" w:rsidRDefault="00785040" w:rsidP="003F04F5">
      <w:pPr>
        <w:spacing w:line="276" w:lineRule="auto"/>
        <w:ind w:right="-96"/>
        <w:jc w:val="both"/>
        <w:rPr>
          <w:rFonts w:ascii="Arial" w:hAnsi="Arial" w:cs="Arial"/>
          <w:sz w:val="22"/>
          <w:szCs w:val="22"/>
        </w:rPr>
      </w:pPr>
      <w:r w:rsidRPr="00501161">
        <w:rPr>
          <w:rFonts w:ascii="Arial" w:hAnsi="Arial" w:cs="Arial"/>
          <w:sz w:val="22"/>
          <w:szCs w:val="22"/>
        </w:rPr>
        <w:t xml:space="preserve">The discussion paper at paragraph 59 states that </w:t>
      </w:r>
      <w:r w:rsidR="005119BF" w:rsidRPr="00501161">
        <w:rPr>
          <w:rFonts w:ascii="Arial" w:hAnsi="Arial" w:cs="Arial"/>
          <w:sz w:val="22"/>
          <w:szCs w:val="22"/>
        </w:rPr>
        <w:t xml:space="preserve">a </w:t>
      </w:r>
      <w:r w:rsidRPr="00501161">
        <w:rPr>
          <w:rFonts w:ascii="Arial" w:hAnsi="Arial" w:cs="Arial"/>
          <w:sz w:val="22"/>
          <w:szCs w:val="22"/>
        </w:rPr>
        <w:t>sum insur</w:t>
      </w:r>
      <w:r w:rsidR="005119BF" w:rsidRPr="00501161">
        <w:rPr>
          <w:rFonts w:ascii="Arial" w:hAnsi="Arial" w:cs="Arial"/>
          <w:sz w:val="22"/>
          <w:szCs w:val="22"/>
        </w:rPr>
        <w:t>ed</w:t>
      </w:r>
      <w:r w:rsidRPr="00501161">
        <w:rPr>
          <w:rFonts w:ascii="Arial" w:hAnsi="Arial" w:cs="Arial"/>
          <w:sz w:val="22"/>
          <w:szCs w:val="22"/>
        </w:rPr>
        <w:t xml:space="preserve"> polic</w:t>
      </w:r>
      <w:r w:rsidR="005119BF" w:rsidRPr="00501161">
        <w:rPr>
          <w:rFonts w:ascii="Arial" w:hAnsi="Arial" w:cs="Arial"/>
          <w:sz w:val="22"/>
          <w:szCs w:val="22"/>
        </w:rPr>
        <w:t>y</w:t>
      </w:r>
      <w:r w:rsidRPr="00501161">
        <w:rPr>
          <w:rFonts w:ascii="Arial" w:hAnsi="Arial" w:cs="Arial"/>
          <w:sz w:val="22"/>
          <w:szCs w:val="22"/>
        </w:rPr>
        <w:t xml:space="preserve"> set at too low an amount "is a potential cause of underinsurance".  We do not think this puts the case strongly enough.  </w:t>
      </w:r>
      <w:r w:rsidR="005119BF" w:rsidRPr="00501161">
        <w:rPr>
          <w:rFonts w:ascii="Arial" w:hAnsi="Arial" w:cs="Arial"/>
          <w:sz w:val="22"/>
          <w:szCs w:val="22"/>
        </w:rPr>
        <w:t xml:space="preserve">As ASIC's reports into this issue </w:t>
      </w:r>
      <w:r w:rsidR="00601723" w:rsidRPr="00501161">
        <w:rPr>
          <w:rFonts w:ascii="Arial" w:hAnsi="Arial" w:cs="Arial"/>
          <w:sz w:val="22"/>
          <w:szCs w:val="22"/>
        </w:rPr>
        <w:t>indicate</w:t>
      </w:r>
      <w:r w:rsidRPr="00501161">
        <w:rPr>
          <w:rFonts w:ascii="Arial" w:hAnsi="Arial" w:cs="Arial"/>
          <w:sz w:val="22"/>
          <w:szCs w:val="22"/>
        </w:rPr>
        <w:t>,</w:t>
      </w:r>
      <w:r w:rsidR="00601723" w:rsidRPr="00501161">
        <w:rPr>
          <w:rStyle w:val="FootnoteReference"/>
          <w:rFonts w:ascii="Arial" w:hAnsi="Arial" w:cs="Arial"/>
          <w:sz w:val="22"/>
          <w:szCs w:val="22"/>
        </w:rPr>
        <w:footnoteReference w:id="11"/>
      </w:r>
      <w:r w:rsidRPr="00501161">
        <w:rPr>
          <w:rFonts w:ascii="Arial" w:hAnsi="Arial" w:cs="Arial"/>
          <w:sz w:val="22"/>
          <w:szCs w:val="22"/>
        </w:rPr>
        <w:t xml:space="preserve"> sum insured policies are </w:t>
      </w:r>
      <w:r w:rsidR="005119BF" w:rsidRPr="00501161">
        <w:rPr>
          <w:rFonts w:ascii="Arial" w:hAnsi="Arial" w:cs="Arial"/>
          <w:sz w:val="22"/>
          <w:szCs w:val="22"/>
        </w:rPr>
        <w:t>the most</w:t>
      </w:r>
      <w:r w:rsidRPr="00501161">
        <w:rPr>
          <w:rFonts w:ascii="Arial" w:hAnsi="Arial" w:cs="Arial"/>
          <w:sz w:val="22"/>
          <w:szCs w:val="22"/>
        </w:rPr>
        <w:t xml:space="preserve"> common and natural cause of underinsurance because most consumers are simply not in a position to accurately predict the cost of replacing their home and contents</w:t>
      </w:r>
      <w:r w:rsidR="005119BF" w:rsidRPr="00501161">
        <w:rPr>
          <w:rFonts w:ascii="Arial" w:hAnsi="Arial" w:cs="Arial"/>
          <w:sz w:val="22"/>
          <w:szCs w:val="22"/>
        </w:rPr>
        <w:t>, and many rely on insurers to estimate these costs</w:t>
      </w:r>
      <w:r w:rsidRPr="00501161">
        <w:rPr>
          <w:rFonts w:ascii="Arial" w:hAnsi="Arial" w:cs="Arial"/>
          <w:sz w:val="22"/>
          <w:szCs w:val="22"/>
        </w:rPr>
        <w:t xml:space="preserve">. </w:t>
      </w:r>
      <w:r w:rsidR="007A7727" w:rsidRPr="00501161">
        <w:rPr>
          <w:rFonts w:ascii="Arial" w:hAnsi="Arial" w:cs="Arial"/>
          <w:sz w:val="22"/>
          <w:szCs w:val="22"/>
        </w:rPr>
        <w:t>This is particularly a problem after a large event like a natural disaster, when costs of repairing and rebuilding increase.</w:t>
      </w:r>
      <w:r w:rsidRPr="00501161">
        <w:rPr>
          <w:rFonts w:ascii="Arial" w:hAnsi="Arial" w:cs="Arial"/>
          <w:sz w:val="22"/>
          <w:szCs w:val="22"/>
        </w:rPr>
        <w:t xml:space="preserve"> </w:t>
      </w:r>
      <w:r w:rsidR="005119BF" w:rsidRPr="00501161">
        <w:rPr>
          <w:rFonts w:ascii="Arial" w:hAnsi="Arial" w:cs="Arial"/>
          <w:sz w:val="22"/>
          <w:szCs w:val="22"/>
        </w:rPr>
        <w:t xml:space="preserve"> </w:t>
      </w:r>
      <w:r w:rsidR="00601723" w:rsidRPr="00501161">
        <w:rPr>
          <w:rFonts w:ascii="Arial" w:hAnsi="Arial" w:cs="Arial"/>
          <w:sz w:val="22"/>
          <w:szCs w:val="22"/>
        </w:rPr>
        <w:t xml:space="preserve">Essentially, </w:t>
      </w:r>
      <w:r w:rsidR="002E3B3D" w:rsidRPr="00501161">
        <w:rPr>
          <w:rFonts w:ascii="Arial" w:hAnsi="Arial" w:cs="Arial"/>
          <w:sz w:val="22"/>
          <w:szCs w:val="22"/>
        </w:rPr>
        <w:t xml:space="preserve">the decision between a sum insured policy or a total replacement policy </w:t>
      </w:r>
      <w:r w:rsidR="00601723" w:rsidRPr="00501161">
        <w:rPr>
          <w:rFonts w:ascii="Arial" w:hAnsi="Arial" w:cs="Arial"/>
          <w:sz w:val="22"/>
          <w:szCs w:val="22"/>
        </w:rPr>
        <w:t>is a matter of which party bears the risk of the costs of under (or over) insurance, as explained by ASIC:</w:t>
      </w:r>
    </w:p>
    <w:p w:rsidR="004849D0" w:rsidRPr="00501161" w:rsidRDefault="004849D0" w:rsidP="003F04F5">
      <w:pPr>
        <w:spacing w:line="276" w:lineRule="auto"/>
        <w:ind w:right="-96"/>
        <w:jc w:val="both"/>
        <w:rPr>
          <w:rFonts w:ascii="Arial" w:hAnsi="Arial" w:cs="Arial"/>
          <w:sz w:val="22"/>
          <w:szCs w:val="22"/>
        </w:rPr>
      </w:pPr>
    </w:p>
    <w:p w:rsidR="00601723" w:rsidRDefault="00601723" w:rsidP="00A36B1C">
      <w:pPr>
        <w:spacing w:line="276" w:lineRule="auto"/>
        <w:ind w:left="720" w:right="-96"/>
        <w:jc w:val="both"/>
        <w:rPr>
          <w:rFonts w:ascii="Arial" w:hAnsi="Arial" w:cs="Arial"/>
          <w:sz w:val="22"/>
          <w:szCs w:val="22"/>
        </w:rPr>
      </w:pPr>
      <w:r w:rsidRPr="00501161">
        <w:rPr>
          <w:rFonts w:ascii="Arial" w:hAnsi="Arial" w:cs="Arial"/>
          <w:sz w:val="22"/>
          <w:szCs w:val="22"/>
        </w:rPr>
        <w:lastRenderedPageBreak/>
        <w:t>The most common home building insurance policy in Australia (known as a sum insured policy) places the risk of an incorrect estimate on the consumer... Under total replacement policies, the insurer accepts responsibility for estimating rebuilding costs.</w:t>
      </w:r>
      <w:r w:rsidRPr="00501161">
        <w:rPr>
          <w:rStyle w:val="FootnoteReference"/>
          <w:rFonts w:ascii="Arial" w:hAnsi="Arial" w:cs="Arial"/>
          <w:sz w:val="22"/>
          <w:szCs w:val="22"/>
        </w:rPr>
        <w:footnoteReference w:id="12"/>
      </w:r>
    </w:p>
    <w:p w:rsidR="00A36B1C" w:rsidRPr="00501161" w:rsidRDefault="00A36B1C" w:rsidP="00813A14">
      <w:pPr>
        <w:spacing w:line="276" w:lineRule="auto"/>
        <w:ind w:right="-96"/>
        <w:jc w:val="both"/>
        <w:rPr>
          <w:rFonts w:ascii="Arial" w:hAnsi="Arial" w:cs="Arial"/>
          <w:sz w:val="22"/>
          <w:szCs w:val="22"/>
        </w:rPr>
      </w:pPr>
    </w:p>
    <w:p w:rsidR="00BD2D40" w:rsidRPr="00501161" w:rsidRDefault="00785040" w:rsidP="004849D0">
      <w:pPr>
        <w:spacing w:line="276" w:lineRule="auto"/>
        <w:ind w:right="-96"/>
        <w:jc w:val="both"/>
        <w:rPr>
          <w:rFonts w:ascii="Arial" w:hAnsi="Arial" w:cs="Arial"/>
          <w:sz w:val="22"/>
          <w:szCs w:val="22"/>
        </w:rPr>
      </w:pPr>
      <w:r w:rsidRPr="00501161">
        <w:rPr>
          <w:rFonts w:ascii="Arial" w:hAnsi="Arial" w:cs="Arial"/>
          <w:sz w:val="22"/>
          <w:szCs w:val="22"/>
        </w:rPr>
        <w:t xml:space="preserve">We are of the firm view that a greater take-up of total replacement policies will significantly reduce the underinsurance problem in Australia. </w:t>
      </w:r>
      <w:r w:rsidR="00601723" w:rsidRPr="00501161">
        <w:rPr>
          <w:rFonts w:ascii="Arial" w:hAnsi="Arial" w:cs="Arial"/>
          <w:sz w:val="22"/>
          <w:szCs w:val="22"/>
        </w:rPr>
        <w:t xml:space="preserve"> </w:t>
      </w:r>
      <w:r w:rsidR="00450D93" w:rsidRPr="00501161">
        <w:rPr>
          <w:rFonts w:ascii="Arial" w:hAnsi="Arial" w:cs="Arial"/>
          <w:sz w:val="22"/>
          <w:szCs w:val="22"/>
        </w:rPr>
        <w:t>For this reason, we feel that any description of each policy type should be specifically designed to encourage demand for total replacement policies.  Descriptions could be along the lines of the following:</w:t>
      </w:r>
    </w:p>
    <w:p w:rsidR="00BD2D40" w:rsidRPr="00501161" w:rsidRDefault="00BD2D40" w:rsidP="005752DD">
      <w:pPr>
        <w:spacing w:line="276" w:lineRule="auto"/>
        <w:ind w:left="720" w:right="-96"/>
        <w:jc w:val="both"/>
        <w:rPr>
          <w:rFonts w:ascii="Arial" w:hAnsi="Arial" w:cs="Arial"/>
          <w:sz w:val="22"/>
          <w:szCs w:val="22"/>
        </w:rPr>
      </w:pPr>
    </w:p>
    <w:p w:rsidR="00B17F79" w:rsidRDefault="00287265" w:rsidP="00B17F79">
      <w:pPr>
        <w:spacing w:line="276" w:lineRule="auto"/>
        <w:ind w:left="720" w:right="-96"/>
        <w:jc w:val="both"/>
        <w:rPr>
          <w:rFonts w:ascii="Arial" w:hAnsi="Arial" w:cs="Arial"/>
          <w:sz w:val="22"/>
          <w:szCs w:val="22"/>
        </w:rPr>
      </w:pPr>
      <w:r w:rsidRPr="00287265">
        <w:rPr>
          <w:rFonts w:ascii="Arial" w:hAnsi="Arial" w:cs="Arial"/>
          <w:b/>
          <w:sz w:val="22"/>
          <w:szCs w:val="22"/>
        </w:rPr>
        <w:t>Warning:</w:t>
      </w:r>
      <w:r w:rsidR="00E03CA8">
        <w:rPr>
          <w:rFonts w:ascii="Arial" w:hAnsi="Arial" w:cs="Arial"/>
          <w:sz w:val="22"/>
          <w:szCs w:val="22"/>
        </w:rPr>
        <w:t xml:space="preserve"> </w:t>
      </w:r>
      <w:r w:rsidR="00450D93" w:rsidRPr="00501161">
        <w:rPr>
          <w:rFonts w:ascii="Arial" w:hAnsi="Arial" w:cs="Arial"/>
          <w:sz w:val="22"/>
          <w:szCs w:val="22"/>
        </w:rPr>
        <w:t xml:space="preserve">Sum insured: "the policy will </w:t>
      </w:r>
      <w:r w:rsidRPr="00B17F79">
        <w:rPr>
          <w:rFonts w:ascii="Arial" w:hAnsi="Arial" w:cs="Arial"/>
          <w:sz w:val="22"/>
          <w:szCs w:val="22"/>
        </w:rPr>
        <w:t>only</w:t>
      </w:r>
      <w:r w:rsidR="00450D93" w:rsidRPr="00B17F79">
        <w:rPr>
          <w:rFonts w:ascii="Arial" w:hAnsi="Arial" w:cs="Arial"/>
          <w:sz w:val="22"/>
          <w:szCs w:val="22"/>
        </w:rPr>
        <w:t xml:space="preserve"> </w:t>
      </w:r>
      <w:r w:rsidR="00450D93" w:rsidRPr="00501161">
        <w:rPr>
          <w:rFonts w:ascii="Arial" w:hAnsi="Arial" w:cs="Arial"/>
          <w:sz w:val="22"/>
          <w:szCs w:val="22"/>
        </w:rPr>
        <w:t>cover y</w:t>
      </w:r>
      <w:r w:rsidR="00BD2D40" w:rsidRPr="00501161">
        <w:rPr>
          <w:rFonts w:ascii="Arial" w:hAnsi="Arial" w:cs="Arial"/>
          <w:sz w:val="22"/>
          <w:szCs w:val="22"/>
        </w:rPr>
        <w:t>ou up to a fixed amount</w:t>
      </w:r>
      <w:r w:rsidR="00B17F79">
        <w:rPr>
          <w:rFonts w:ascii="Arial" w:hAnsi="Arial" w:cs="Arial"/>
          <w:sz w:val="22"/>
          <w:szCs w:val="22"/>
        </w:rPr>
        <w:t>"</w:t>
      </w:r>
    </w:p>
    <w:p w:rsidR="00450D93" w:rsidRPr="00501161" w:rsidRDefault="00450D93" w:rsidP="00B17F79">
      <w:pPr>
        <w:spacing w:line="276" w:lineRule="auto"/>
        <w:ind w:left="720" w:right="-96"/>
        <w:jc w:val="both"/>
        <w:rPr>
          <w:rFonts w:ascii="Arial" w:hAnsi="Arial" w:cs="Arial"/>
          <w:sz w:val="22"/>
          <w:szCs w:val="22"/>
        </w:rPr>
      </w:pPr>
      <w:r w:rsidRPr="00501161">
        <w:rPr>
          <w:rFonts w:ascii="Arial" w:hAnsi="Arial" w:cs="Arial"/>
          <w:sz w:val="22"/>
          <w:szCs w:val="22"/>
        </w:rPr>
        <w:t>Total replacement: "the policy will cover all</w:t>
      </w:r>
      <w:r w:rsidR="00BD2D40" w:rsidRPr="00501161">
        <w:rPr>
          <w:rFonts w:ascii="Arial" w:hAnsi="Arial" w:cs="Arial"/>
          <w:sz w:val="22"/>
          <w:szCs w:val="22"/>
        </w:rPr>
        <w:t xml:space="preserve"> repairs or replacement, </w:t>
      </w:r>
      <w:r w:rsidR="00287265" w:rsidRPr="00B17F79">
        <w:rPr>
          <w:rFonts w:ascii="Arial" w:hAnsi="Arial" w:cs="Arial"/>
          <w:sz w:val="22"/>
          <w:szCs w:val="22"/>
        </w:rPr>
        <w:t>whatever the cost</w:t>
      </w:r>
      <w:r w:rsidRPr="00501161">
        <w:rPr>
          <w:rFonts w:ascii="Arial" w:hAnsi="Arial" w:cs="Arial"/>
          <w:sz w:val="22"/>
          <w:szCs w:val="22"/>
        </w:rPr>
        <w:t>"</w:t>
      </w:r>
    </w:p>
    <w:p w:rsidR="00450D93" w:rsidRPr="00501161" w:rsidRDefault="00450D93" w:rsidP="005752DD">
      <w:pPr>
        <w:spacing w:line="276" w:lineRule="auto"/>
        <w:ind w:left="720" w:right="-96"/>
        <w:jc w:val="both"/>
        <w:rPr>
          <w:rFonts w:ascii="Arial" w:hAnsi="Arial" w:cs="Arial"/>
          <w:sz w:val="22"/>
          <w:szCs w:val="22"/>
        </w:rPr>
      </w:pPr>
    </w:p>
    <w:p w:rsidR="00BD2D40" w:rsidRPr="00501161" w:rsidRDefault="00BD2D40" w:rsidP="00B17F79">
      <w:pPr>
        <w:spacing w:line="276" w:lineRule="auto"/>
        <w:ind w:right="-96"/>
        <w:jc w:val="both"/>
        <w:rPr>
          <w:rFonts w:ascii="Arial" w:hAnsi="Arial" w:cs="Arial"/>
          <w:sz w:val="22"/>
          <w:szCs w:val="22"/>
        </w:rPr>
      </w:pPr>
      <w:r w:rsidRPr="00501161">
        <w:rPr>
          <w:rFonts w:ascii="Arial" w:hAnsi="Arial" w:cs="Arial"/>
          <w:sz w:val="22"/>
          <w:szCs w:val="22"/>
        </w:rPr>
        <w:t>Under the "covered amount" section where there is more space to describe policy type</w:t>
      </w:r>
      <w:r w:rsidR="008E2286" w:rsidRPr="00501161">
        <w:rPr>
          <w:rFonts w:ascii="Arial" w:hAnsi="Arial" w:cs="Arial"/>
          <w:sz w:val="22"/>
          <w:szCs w:val="22"/>
        </w:rPr>
        <w:t>s</w:t>
      </w:r>
      <w:r w:rsidRPr="00501161">
        <w:rPr>
          <w:rFonts w:ascii="Arial" w:hAnsi="Arial" w:cs="Arial"/>
          <w:sz w:val="22"/>
          <w:szCs w:val="22"/>
        </w:rPr>
        <w:t xml:space="preserve">, the </w:t>
      </w:r>
      <w:r w:rsidR="008E2286" w:rsidRPr="00501161">
        <w:rPr>
          <w:rFonts w:ascii="Arial" w:hAnsi="Arial" w:cs="Arial"/>
          <w:sz w:val="22"/>
          <w:szCs w:val="22"/>
        </w:rPr>
        <w:t>statement should go into more detail.  For example, for a sum insured policy we suggest</w:t>
      </w:r>
      <w:r w:rsidR="00B17F79">
        <w:rPr>
          <w:rFonts w:ascii="Arial" w:hAnsi="Arial" w:cs="Arial"/>
          <w:sz w:val="22"/>
          <w:szCs w:val="22"/>
        </w:rPr>
        <w:t xml:space="preserve"> something like</w:t>
      </w:r>
      <w:r w:rsidR="008E2286" w:rsidRPr="00501161">
        <w:rPr>
          <w:rFonts w:ascii="Arial" w:hAnsi="Arial" w:cs="Arial"/>
          <w:sz w:val="22"/>
          <w:szCs w:val="22"/>
        </w:rPr>
        <w:t>:</w:t>
      </w:r>
    </w:p>
    <w:p w:rsidR="00B17F79" w:rsidRDefault="00B17F79" w:rsidP="005752DD">
      <w:pPr>
        <w:spacing w:line="276" w:lineRule="auto"/>
        <w:ind w:left="1440" w:right="-96"/>
        <w:jc w:val="both"/>
        <w:rPr>
          <w:rFonts w:ascii="Arial" w:hAnsi="Arial" w:cs="Arial"/>
          <w:sz w:val="22"/>
          <w:szCs w:val="22"/>
        </w:rPr>
      </w:pPr>
    </w:p>
    <w:p w:rsidR="00C53ED4" w:rsidRPr="00501161" w:rsidRDefault="008E2286" w:rsidP="00B17F79">
      <w:pPr>
        <w:spacing w:line="276" w:lineRule="auto"/>
        <w:ind w:left="720" w:right="-96"/>
        <w:jc w:val="both"/>
        <w:rPr>
          <w:rFonts w:ascii="Arial" w:hAnsi="Arial" w:cs="Arial"/>
          <w:sz w:val="22"/>
          <w:szCs w:val="22"/>
        </w:rPr>
      </w:pPr>
      <w:r w:rsidRPr="00501161">
        <w:rPr>
          <w:rFonts w:ascii="Arial" w:hAnsi="Arial" w:cs="Arial"/>
          <w:sz w:val="22"/>
          <w:szCs w:val="22"/>
        </w:rPr>
        <w:t>This policy is a sum insured policy, which will only cover you up to a fixed amount, agreed by you.  This could mean that you do not have enough insurance coverage to repair or rebuild your home.  You should consider whether a total replacement policy is better for your needs.</w:t>
      </w:r>
    </w:p>
    <w:p w:rsidR="00C53ED4" w:rsidRPr="00501161" w:rsidRDefault="00C53ED4" w:rsidP="00443F58">
      <w:pPr>
        <w:spacing w:line="276" w:lineRule="auto"/>
        <w:ind w:right="-96"/>
        <w:jc w:val="both"/>
        <w:rPr>
          <w:rFonts w:ascii="Arial" w:hAnsi="Arial" w:cs="Arial"/>
          <w:sz w:val="22"/>
          <w:szCs w:val="22"/>
        </w:rPr>
      </w:pPr>
    </w:p>
    <w:p w:rsidR="00601723" w:rsidRPr="00501161" w:rsidRDefault="00601723" w:rsidP="00B17F79">
      <w:pPr>
        <w:spacing w:line="276" w:lineRule="auto"/>
        <w:ind w:right="-96"/>
        <w:jc w:val="both"/>
        <w:rPr>
          <w:rFonts w:ascii="Arial" w:hAnsi="Arial" w:cs="Arial"/>
          <w:sz w:val="22"/>
          <w:szCs w:val="22"/>
        </w:rPr>
      </w:pPr>
      <w:r w:rsidRPr="00501161">
        <w:rPr>
          <w:rFonts w:ascii="Arial" w:hAnsi="Arial" w:cs="Arial"/>
          <w:sz w:val="22"/>
          <w:szCs w:val="22"/>
        </w:rPr>
        <w:t>This approach is attractive because it facilitates a market solution to the problem of underinsurance.  It avoids prescriptive requirements on insurers to offer particular insurance products, which may unnecessarily increase costs to consumers if these products are not wanted by all consumers</w:t>
      </w:r>
      <w:r w:rsidR="002E3B3D" w:rsidRPr="00501161">
        <w:rPr>
          <w:rFonts w:ascii="Arial" w:hAnsi="Arial" w:cs="Arial"/>
          <w:sz w:val="22"/>
          <w:szCs w:val="22"/>
        </w:rPr>
        <w:t xml:space="preserve">. However, it </w:t>
      </w:r>
      <w:r w:rsidRPr="00501161">
        <w:rPr>
          <w:rFonts w:ascii="Arial" w:hAnsi="Arial" w:cs="Arial"/>
          <w:sz w:val="22"/>
          <w:szCs w:val="22"/>
        </w:rPr>
        <w:t xml:space="preserve">provides consumers with the information they need to make an informed choice between sum insured and total replacement cover, sending </w:t>
      </w:r>
      <w:r w:rsidR="005B67B4" w:rsidRPr="00501161">
        <w:rPr>
          <w:rFonts w:ascii="Arial" w:hAnsi="Arial" w:cs="Arial"/>
          <w:sz w:val="22"/>
          <w:szCs w:val="22"/>
        </w:rPr>
        <w:t>more accurate</w:t>
      </w:r>
      <w:r w:rsidRPr="00501161">
        <w:rPr>
          <w:rFonts w:ascii="Arial" w:hAnsi="Arial" w:cs="Arial"/>
          <w:sz w:val="22"/>
          <w:szCs w:val="22"/>
        </w:rPr>
        <w:t xml:space="preserve"> signals to insu</w:t>
      </w:r>
      <w:r w:rsidR="005B67B4" w:rsidRPr="00501161">
        <w:rPr>
          <w:rFonts w:ascii="Arial" w:hAnsi="Arial" w:cs="Arial"/>
          <w:sz w:val="22"/>
          <w:szCs w:val="22"/>
        </w:rPr>
        <w:t>r</w:t>
      </w:r>
      <w:r w:rsidRPr="00501161">
        <w:rPr>
          <w:rFonts w:ascii="Arial" w:hAnsi="Arial" w:cs="Arial"/>
          <w:sz w:val="22"/>
          <w:szCs w:val="22"/>
        </w:rPr>
        <w:t xml:space="preserve">ers about consumer preferences regarding how the risk of underinsurance should be covered. </w:t>
      </w:r>
    </w:p>
    <w:p w:rsidR="00601723" w:rsidRPr="00501161" w:rsidRDefault="00601723" w:rsidP="00443F58">
      <w:pPr>
        <w:spacing w:line="276" w:lineRule="auto"/>
        <w:ind w:right="-96"/>
        <w:jc w:val="both"/>
        <w:rPr>
          <w:rFonts w:ascii="Arial" w:hAnsi="Arial" w:cs="Arial"/>
          <w:sz w:val="22"/>
          <w:szCs w:val="22"/>
        </w:rPr>
      </w:pPr>
    </w:p>
    <w:p w:rsidR="00262E2F" w:rsidRPr="00501161" w:rsidRDefault="00262E2F" w:rsidP="00443F58">
      <w:pPr>
        <w:spacing w:line="276" w:lineRule="auto"/>
        <w:ind w:right="-96"/>
        <w:jc w:val="both"/>
        <w:rPr>
          <w:rFonts w:ascii="Arial" w:hAnsi="Arial" w:cs="Arial"/>
          <w:i/>
          <w:sz w:val="22"/>
          <w:szCs w:val="22"/>
        </w:rPr>
      </w:pPr>
      <w:r w:rsidRPr="00501161">
        <w:rPr>
          <w:rFonts w:ascii="Arial" w:hAnsi="Arial" w:cs="Arial"/>
          <w:i/>
          <w:sz w:val="22"/>
          <w:szCs w:val="22"/>
        </w:rPr>
        <w:t>Should the wording of a note on how to use the statement be prescribed?</w:t>
      </w:r>
    </w:p>
    <w:p w:rsidR="00B17F79" w:rsidRDefault="00B17F79" w:rsidP="00B17F79">
      <w:pPr>
        <w:spacing w:line="276" w:lineRule="auto"/>
        <w:ind w:right="-96"/>
        <w:jc w:val="both"/>
        <w:rPr>
          <w:rFonts w:ascii="Arial" w:hAnsi="Arial" w:cs="Arial"/>
          <w:sz w:val="22"/>
          <w:szCs w:val="22"/>
        </w:rPr>
      </w:pPr>
    </w:p>
    <w:p w:rsidR="00262E2F" w:rsidRPr="00501161" w:rsidRDefault="000545BF" w:rsidP="00B17F79">
      <w:pPr>
        <w:spacing w:line="276" w:lineRule="auto"/>
        <w:ind w:right="-96"/>
        <w:jc w:val="both"/>
        <w:rPr>
          <w:rFonts w:ascii="Arial" w:hAnsi="Arial" w:cs="Arial"/>
          <w:sz w:val="22"/>
          <w:szCs w:val="22"/>
        </w:rPr>
      </w:pPr>
      <w:r w:rsidRPr="00501161">
        <w:rPr>
          <w:rFonts w:ascii="Arial" w:hAnsi="Arial" w:cs="Arial"/>
          <w:sz w:val="22"/>
          <w:szCs w:val="22"/>
        </w:rPr>
        <w:t>A note referring consumers to the full PDS may be useful, so long as it is simple and clear and is standardised so that its wording and placement in the key facts statement do not detract from the key facts statement's overall effectiveness.</w:t>
      </w:r>
      <w:r w:rsidR="00C53ED4" w:rsidRPr="00501161">
        <w:rPr>
          <w:rFonts w:ascii="Arial" w:hAnsi="Arial" w:cs="Arial"/>
          <w:sz w:val="22"/>
          <w:szCs w:val="22"/>
        </w:rPr>
        <w:t xml:space="preserve">  In our view, the </w:t>
      </w:r>
      <w:r w:rsidRPr="00501161">
        <w:rPr>
          <w:rFonts w:ascii="Arial" w:hAnsi="Arial" w:cs="Arial"/>
          <w:sz w:val="22"/>
          <w:szCs w:val="22"/>
        </w:rPr>
        <w:t xml:space="preserve">key facts </w:t>
      </w:r>
      <w:r w:rsidR="00C53ED4" w:rsidRPr="00501161">
        <w:rPr>
          <w:rFonts w:ascii="Arial" w:hAnsi="Arial" w:cs="Arial"/>
          <w:sz w:val="22"/>
          <w:szCs w:val="22"/>
        </w:rPr>
        <w:t xml:space="preserve">statement should be standardised as much as possible. </w:t>
      </w:r>
    </w:p>
    <w:p w:rsidR="00B17F79" w:rsidRDefault="00B17F79" w:rsidP="00B17F79">
      <w:pPr>
        <w:spacing w:line="276" w:lineRule="auto"/>
        <w:ind w:right="-96"/>
        <w:jc w:val="both"/>
        <w:rPr>
          <w:rFonts w:ascii="Arial" w:hAnsi="Arial" w:cs="Arial"/>
          <w:sz w:val="22"/>
          <w:szCs w:val="22"/>
        </w:rPr>
      </w:pPr>
    </w:p>
    <w:p w:rsidR="006D4CF6" w:rsidRPr="00501161" w:rsidRDefault="0043376E" w:rsidP="00B17F79">
      <w:pPr>
        <w:spacing w:line="276" w:lineRule="auto"/>
        <w:ind w:right="-96"/>
        <w:jc w:val="both"/>
        <w:rPr>
          <w:rFonts w:ascii="Arial" w:hAnsi="Arial" w:cs="Arial"/>
          <w:sz w:val="22"/>
          <w:szCs w:val="22"/>
        </w:rPr>
      </w:pPr>
      <w:r w:rsidRPr="00501161">
        <w:rPr>
          <w:rFonts w:ascii="Arial" w:hAnsi="Arial" w:cs="Arial"/>
          <w:sz w:val="22"/>
          <w:szCs w:val="22"/>
        </w:rPr>
        <w:t xml:space="preserve">Perhaps a better </w:t>
      </w:r>
      <w:r w:rsidR="006D4CF6" w:rsidRPr="00501161">
        <w:rPr>
          <w:rFonts w:ascii="Arial" w:hAnsi="Arial" w:cs="Arial"/>
          <w:sz w:val="22"/>
          <w:szCs w:val="22"/>
        </w:rPr>
        <w:t>option would be to design the key facts statement so that important information was accompanied by a reference directing the consumer to the</w:t>
      </w:r>
      <w:r w:rsidRPr="00501161">
        <w:rPr>
          <w:rFonts w:ascii="Arial" w:hAnsi="Arial" w:cs="Arial"/>
          <w:sz w:val="22"/>
          <w:szCs w:val="22"/>
        </w:rPr>
        <w:t xml:space="preserve"> specific</w:t>
      </w:r>
      <w:r w:rsidR="006D4CF6" w:rsidRPr="00501161">
        <w:rPr>
          <w:rFonts w:ascii="Arial" w:hAnsi="Arial" w:cs="Arial"/>
          <w:sz w:val="22"/>
          <w:szCs w:val="22"/>
        </w:rPr>
        <w:t xml:space="preserve"> relevant clause</w:t>
      </w:r>
      <w:r w:rsidRPr="00501161">
        <w:rPr>
          <w:rFonts w:ascii="Arial" w:hAnsi="Arial" w:cs="Arial"/>
          <w:sz w:val="22"/>
          <w:szCs w:val="22"/>
        </w:rPr>
        <w:t>(s)</w:t>
      </w:r>
      <w:r w:rsidR="006D4CF6" w:rsidRPr="00501161">
        <w:rPr>
          <w:rFonts w:ascii="Arial" w:hAnsi="Arial" w:cs="Arial"/>
          <w:sz w:val="22"/>
          <w:szCs w:val="22"/>
        </w:rPr>
        <w:t xml:space="preserve"> in the full PDS for more details.  </w:t>
      </w:r>
      <w:r w:rsidR="00E30CA1" w:rsidRPr="00501161">
        <w:rPr>
          <w:rFonts w:ascii="Arial" w:hAnsi="Arial" w:cs="Arial"/>
          <w:sz w:val="22"/>
          <w:szCs w:val="22"/>
        </w:rPr>
        <w:t xml:space="preserve">This </w:t>
      </w:r>
      <w:r w:rsidRPr="00501161">
        <w:rPr>
          <w:rFonts w:ascii="Arial" w:hAnsi="Arial" w:cs="Arial"/>
          <w:sz w:val="22"/>
          <w:szCs w:val="22"/>
        </w:rPr>
        <w:t>can be</w:t>
      </w:r>
      <w:r w:rsidR="00E30CA1" w:rsidRPr="00501161">
        <w:rPr>
          <w:rFonts w:ascii="Arial" w:hAnsi="Arial" w:cs="Arial"/>
          <w:sz w:val="22"/>
          <w:szCs w:val="22"/>
        </w:rPr>
        <w:t xml:space="preserve"> done </w:t>
      </w:r>
      <w:r w:rsidR="001557EA" w:rsidRPr="00501161">
        <w:rPr>
          <w:rFonts w:ascii="Arial" w:hAnsi="Arial" w:cs="Arial"/>
          <w:sz w:val="22"/>
          <w:szCs w:val="22"/>
        </w:rPr>
        <w:t>in a format that d</w:t>
      </w:r>
      <w:r w:rsidRPr="00501161">
        <w:rPr>
          <w:rFonts w:ascii="Arial" w:hAnsi="Arial" w:cs="Arial"/>
          <w:sz w:val="22"/>
          <w:szCs w:val="22"/>
        </w:rPr>
        <w:t>oes</w:t>
      </w:r>
      <w:r w:rsidR="001557EA" w:rsidRPr="00501161">
        <w:rPr>
          <w:rFonts w:ascii="Arial" w:hAnsi="Arial" w:cs="Arial"/>
          <w:sz w:val="22"/>
          <w:szCs w:val="22"/>
        </w:rPr>
        <w:t xml:space="preserve"> not detract from overall ease of reading </w:t>
      </w:r>
      <w:r w:rsidRPr="00501161">
        <w:rPr>
          <w:rFonts w:ascii="Arial" w:hAnsi="Arial" w:cs="Arial"/>
          <w:sz w:val="22"/>
          <w:szCs w:val="22"/>
        </w:rPr>
        <w:t xml:space="preserve">- </w:t>
      </w:r>
      <w:r w:rsidR="001557EA" w:rsidRPr="00501161">
        <w:rPr>
          <w:rFonts w:ascii="Arial" w:hAnsi="Arial" w:cs="Arial"/>
          <w:sz w:val="22"/>
          <w:szCs w:val="22"/>
        </w:rPr>
        <w:t>for</w:t>
      </w:r>
      <w:r w:rsidRPr="00501161">
        <w:rPr>
          <w:rFonts w:ascii="Arial" w:hAnsi="Arial" w:cs="Arial"/>
          <w:sz w:val="22"/>
          <w:szCs w:val="22"/>
        </w:rPr>
        <w:t xml:space="preserve"> example, see</w:t>
      </w:r>
      <w:r w:rsidR="001557EA" w:rsidRPr="00501161">
        <w:rPr>
          <w:rFonts w:ascii="Arial" w:hAnsi="Arial" w:cs="Arial"/>
          <w:sz w:val="22"/>
          <w:szCs w:val="22"/>
        </w:rPr>
        <w:t xml:space="preserve"> the </w:t>
      </w:r>
      <w:r w:rsidR="00E30CA1" w:rsidRPr="00501161">
        <w:rPr>
          <w:rFonts w:ascii="Arial" w:hAnsi="Arial" w:cs="Arial"/>
          <w:sz w:val="22"/>
          <w:szCs w:val="22"/>
        </w:rPr>
        <w:t>key facts statement</w:t>
      </w:r>
      <w:r w:rsidR="001557EA" w:rsidRPr="00501161">
        <w:rPr>
          <w:rFonts w:ascii="Arial" w:hAnsi="Arial" w:cs="Arial"/>
          <w:sz w:val="22"/>
          <w:szCs w:val="22"/>
        </w:rPr>
        <w:t>s</w:t>
      </w:r>
      <w:r w:rsidR="00E30CA1" w:rsidRPr="00501161">
        <w:rPr>
          <w:rFonts w:ascii="Arial" w:hAnsi="Arial" w:cs="Arial"/>
          <w:sz w:val="22"/>
          <w:szCs w:val="22"/>
        </w:rPr>
        <w:t xml:space="preserve"> for loan products </w:t>
      </w:r>
      <w:r w:rsidR="00E47C74" w:rsidRPr="00501161">
        <w:rPr>
          <w:rFonts w:ascii="Arial" w:hAnsi="Arial" w:cs="Arial"/>
          <w:sz w:val="22"/>
          <w:szCs w:val="22"/>
        </w:rPr>
        <w:t xml:space="preserve">tested in </w:t>
      </w:r>
      <w:r w:rsidR="00E30CA1" w:rsidRPr="00501161">
        <w:rPr>
          <w:rFonts w:ascii="Arial" w:hAnsi="Arial" w:cs="Arial"/>
          <w:sz w:val="22"/>
          <w:szCs w:val="22"/>
        </w:rPr>
        <w:t xml:space="preserve">the </w:t>
      </w:r>
      <w:r w:rsidR="001557EA" w:rsidRPr="00501161">
        <w:rPr>
          <w:rFonts w:ascii="Arial" w:hAnsi="Arial" w:cs="Arial"/>
          <w:sz w:val="22"/>
          <w:szCs w:val="22"/>
        </w:rPr>
        <w:t xml:space="preserve">March 2010 report on disclosure simplification produced by </w:t>
      </w:r>
      <w:proofErr w:type="spellStart"/>
      <w:r w:rsidR="001557EA" w:rsidRPr="00501161">
        <w:rPr>
          <w:rFonts w:ascii="Arial" w:hAnsi="Arial" w:cs="Arial"/>
          <w:sz w:val="22"/>
          <w:szCs w:val="22"/>
        </w:rPr>
        <w:t>Uniquest</w:t>
      </w:r>
      <w:proofErr w:type="spellEnd"/>
      <w:r w:rsidR="001557EA" w:rsidRPr="00501161">
        <w:rPr>
          <w:rFonts w:ascii="Arial" w:hAnsi="Arial" w:cs="Arial"/>
          <w:sz w:val="22"/>
          <w:szCs w:val="22"/>
        </w:rPr>
        <w:t xml:space="preserve"> for the Standing Committee of Officials of Consumer Affairs.</w:t>
      </w:r>
      <w:r w:rsidR="001557EA" w:rsidRPr="00501161">
        <w:rPr>
          <w:rStyle w:val="FootnoteReference"/>
          <w:rFonts w:ascii="Arial" w:hAnsi="Arial" w:cs="Arial"/>
          <w:sz w:val="22"/>
          <w:szCs w:val="22"/>
        </w:rPr>
        <w:footnoteReference w:id="13"/>
      </w:r>
    </w:p>
    <w:p w:rsidR="00C53ED4" w:rsidRPr="00501161" w:rsidRDefault="00C53ED4" w:rsidP="00443F58">
      <w:pPr>
        <w:spacing w:line="276" w:lineRule="auto"/>
        <w:ind w:right="-96"/>
        <w:jc w:val="both"/>
        <w:rPr>
          <w:rFonts w:ascii="Arial" w:hAnsi="Arial" w:cs="Arial"/>
          <w:i/>
          <w:sz w:val="22"/>
          <w:szCs w:val="22"/>
        </w:rPr>
      </w:pPr>
    </w:p>
    <w:p w:rsidR="00E863E6" w:rsidRPr="00501161" w:rsidRDefault="00E863E6" w:rsidP="007A7727">
      <w:pPr>
        <w:spacing w:after="240" w:line="276" w:lineRule="auto"/>
        <w:ind w:right="-96"/>
        <w:jc w:val="both"/>
        <w:rPr>
          <w:rFonts w:ascii="Arial" w:hAnsi="Arial" w:cs="Arial"/>
          <w:i/>
          <w:sz w:val="22"/>
          <w:szCs w:val="22"/>
        </w:rPr>
      </w:pPr>
      <w:r w:rsidRPr="00501161">
        <w:rPr>
          <w:rFonts w:ascii="Arial" w:hAnsi="Arial" w:cs="Arial"/>
          <w:i/>
          <w:sz w:val="22"/>
          <w:szCs w:val="22"/>
        </w:rPr>
        <w:lastRenderedPageBreak/>
        <w:t xml:space="preserve">What advantages and disadvantages would there be in prescribing events that should be addressed </w:t>
      </w:r>
      <w:r w:rsidR="00C53ED4" w:rsidRPr="00501161">
        <w:rPr>
          <w:rFonts w:ascii="Arial" w:hAnsi="Arial" w:cs="Arial"/>
          <w:i/>
          <w:sz w:val="22"/>
          <w:szCs w:val="22"/>
        </w:rPr>
        <w:t>in the ‘what is covered’ list?</w:t>
      </w:r>
    </w:p>
    <w:p w:rsidR="008B7387" w:rsidRPr="00895922" w:rsidRDefault="008B7387" w:rsidP="00895922">
      <w:pPr>
        <w:spacing w:line="276" w:lineRule="auto"/>
        <w:ind w:right="-96"/>
        <w:jc w:val="both"/>
        <w:rPr>
          <w:rFonts w:ascii="Arial" w:hAnsi="Arial" w:cs="Arial"/>
          <w:sz w:val="22"/>
          <w:szCs w:val="22"/>
        </w:rPr>
      </w:pPr>
      <w:r w:rsidRPr="00895922">
        <w:rPr>
          <w:rFonts w:ascii="Arial" w:hAnsi="Arial" w:cs="Arial"/>
          <w:sz w:val="22"/>
          <w:szCs w:val="22"/>
        </w:rPr>
        <w:t>We strongly recommend that</w:t>
      </w:r>
      <w:r w:rsidR="004C642C" w:rsidRPr="00895922">
        <w:rPr>
          <w:rFonts w:ascii="Arial" w:hAnsi="Arial" w:cs="Arial"/>
          <w:sz w:val="22"/>
          <w:szCs w:val="22"/>
        </w:rPr>
        <w:t xml:space="preserve">, if </w:t>
      </w:r>
      <w:r w:rsidR="00DD5C13" w:rsidRPr="00895922">
        <w:rPr>
          <w:rFonts w:ascii="Arial" w:hAnsi="Arial" w:cs="Arial"/>
          <w:sz w:val="22"/>
          <w:szCs w:val="22"/>
        </w:rPr>
        <w:t>the</w:t>
      </w:r>
      <w:r w:rsidR="004C642C" w:rsidRPr="00895922">
        <w:rPr>
          <w:rFonts w:ascii="Arial" w:hAnsi="Arial" w:cs="Arial"/>
          <w:sz w:val="22"/>
          <w:szCs w:val="22"/>
        </w:rPr>
        <w:t xml:space="preserve"> format </w:t>
      </w:r>
      <w:r w:rsidR="00DD5C13" w:rsidRPr="00895922">
        <w:rPr>
          <w:rFonts w:ascii="Arial" w:hAnsi="Arial" w:cs="Arial"/>
          <w:sz w:val="22"/>
          <w:szCs w:val="22"/>
        </w:rPr>
        <w:t xml:space="preserve">on page 11 of the discussion paper </w:t>
      </w:r>
      <w:r w:rsidR="004C642C" w:rsidRPr="00895922">
        <w:rPr>
          <w:rFonts w:ascii="Arial" w:hAnsi="Arial" w:cs="Arial"/>
          <w:sz w:val="22"/>
          <w:szCs w:val="22"/>
        </w:rPr>
        <w:t>is chosen,</w:t>
      </w:r>
      <w:r w:rsidRPr="00895922">
        <w:rPr>
          <w:rFonts w:ascii="Arial" w:hAnsi="Arial" w:cs="Arial"/>
          <w:sz w:val="22"/>
          <w:szCs w:val="22"/>
        </w:rPr>
        <w:t xml:space="preserve"> the list of events </w:t>
      </w:r>
      <w:r w:rsidR="00DD5C13" w:rsidRPr="00895922">
        <w:rPr>
          <w:rFonts w:ascii="Arial" w:hAnsi="Arial" w:cs="Arial"/>
          <w:sz w:val="22"/>
          <w:szCs w:val="22"/>
        </w:rPr>
        <w:t xml:space="preserve">to be listed on the key facts sheet must be prescribed </w:t>
      </w:r>
      <w:r w:rsidRPr="00895922">
        <w:rPr>
          <w:rFonts w:ascii="Arial" w:hAnsi="Arial" w:cs="Arial"/>
          <w:sz w:val="22"/>
          <w:szCs w:val="22"/>
        </w:rPr>
        <w:t>to ensure clarity about what is and is not covered by the policy, and to allow easier comparison between products.</w:t>
      </w:r>
      <w:r w:rsidR="00DF2329" w:rsidRPr="00895922">
        <w:rPr>
          <w:rFonts w:ascii="Arial" w:hAnsi="Arial" w:cs="Arial"/>
          <w:sz w:val="22"/>
          <w:szCs w:val="22"/>
        </w:rPr>
        <w:t xml:space="preserve">  However, this does not only apply to the 'what is covered' list.  If an event is prescribed that event must be listed on the key facts statement whether covered or not.  In other words, if the format on page 11 is used, all prescribed events would need be listed either on the 'what is covered' or on the 'what is NOT covered' lists.</w:t>
      </w:r>
    </w:p>
    <w:p w:rsidR="00895922" w:rsidRPr="00895922" w:rsidRDefault="00895922" w:rsidP="00895922">
      <w:pPr>
        <w:spacing w:line="276" w:lineRule="auto"/>
        <w:ind w:right="-96"/>
        <w:jc w:val="both"/>
        <w:rPr>
          <w:rFonts w:ascii="Arial" w:hAnsi="Arial" w:cs="Arial"/>
          <w:sz w:val="22"/>
          <w:szCs w:val="22"/>
        </w:rPr>
      </w:pPr>
    </w:p>
    <w:p w:rsidR="001F5B64" w:rsidRDefault="008B7387" w:rsidP="00895922">
      <w:pPr>
        <w:spacing w:line="276" w:lineRule="auto"/>
        <w:ind w:right="-96"/>
        <w:jc w:val="both"/>
        <w:rPr>
          <w:rFonts w:ascii="Arial" w:hAnsi="Arial" w:cs="Arial"/>
          <w:sz w:val="22"/>
          <w:szCs w:val="22"/>
        </w:rPr>
      </w:pPr>
      <w:r w:rsidRPr="00895922">
        <w:rPr>
          <w:rFonts w:ascii="Arial" w:hAnsi="Arial" w:cs="Arial"/>
          <w:sz w:val="22"/>
          <w:szCs w:val="22"/>
        </w:rPr>
        <w:t xml:space="preserve">Prescribing the events </w:t>
      </w:r>
      <w:r w:rsidR="004C642C" w:rsidRPr="00895922">
        <w:rPr>
          <w:rFonts w:ascii="Arial" w:hAnsi="Arial" w:cs="Arial"/>
          <w:sz w:val="22"/>
          <w:szCs w:val="22"/>
        </w:rPr>
        <w:t xml:space="preserve">covered </w:t>
      </w:r>
      <w:r w:rsidRPr="00895922">
        <w:rPr>
          <w:rFonts w:ascii="Arial" w:hAnsi="Arial" w:cs="Arial"/>
          <w:sz w:val="22"/>
          <w:szCs w:val="22"/>
        </w:rPr>
        <w:t xml:space="preserve">will </w:t>
      </w:r>
      <w:r w:rsidR="00C53ED4" w:rsidRPr="00895922">
        <w:rPr>
          <w:rFonts w:ascii="Arial" w:hAnsi="Arial" w:cs="Arial"/>
          <w:sz w:val="22"/>
          <w:szCs w:val="22"/>
        </w:rPr>
        <w:t xml:space="preserve">ensure </w:t>
      </w:r>
      <w:r w:rsidRPr="00895922">
        <w:rPr>
          <w:rFonts w:ascii="Arial" w:hAnsi="Arial" w:cs="Arial"/>
          <w:sz w:val="22"/>
          <w:szCs w:val="22"/>
        </w:rPr>
        <w:t xml:space="preserve">that </w:t>
      </w:r>
      <w:r w:rsidR="00C53ED4" w:rsidRPr="00895922">
        <w:rPr>
          <w:rFonts w:ascii="Arial" w:hAnsi="Arial" w:cs="Arial"/>
          <w:sz w:val="22"/>
          <w:szCs w:val="22"/>
        </w:rPr>
        <w:t xml:space="preserve">exclusions </w:t>
      </w:r>
      <w:r w:rsidR="001F5B64" w:rsidRPr="00895922">
        <w:rPr>
          <w:rFonts w:ascii="Arial" w:hAnsi="Arial" w:cs="Arial"/>
          <w:sz w:val="22"/>
          <w:szCs w:val="22"/>
        </w:rPr>
        <w:t xml:space="preserve">for </w:t>
      </w:r>
      <w:r w:rsidR="007A7727" w:rsidRPr="00895922">
        <w:rPr>
          <w:rFonts w:ascii="Arial" w:hAnsi="Arial" w:cs="Arial"/>
          <w:sz w:val="22"/>
          <w:szCs w:val="22"/>
        </w:rPr>
        <w:t xml:space="preserve">key </w:t>
      </w:r>
      <w:r w:rsidR="001F5B64" w:rsidRPr="00895922">
        <w:rPr>
          <w:rFonts w:ascii="Arial" w:hAnsi="Arial" w:cs="Arial"/>
          <w:sz w:val="22"/>
          <w:szCs w:val="22"/>
        </w:rPr>
        <w:t>events will be made clear</w:t>
      </w:r>
      <w:r w:rsidR="004C642C" w:rsidRPr="00895922">
        <w:rPr>
          <w:rFonts w:ascii="Arial" w:hAnsi="Arial" w:cs="Arial"/>
          <w:sz w:val="22"/>
          <w:szCs w:val="22"/>
        </w:rPr>
        <w:t>er</w:t>
      </w:r>
      <w:r w:rsidR="001F5B64" w:rsidRPr="00895922">
        <w:rPr>
          <w:rFonts w:ascii="Arial" w:hAnsi="Arial" w:cs="Arial"/>
          <w:sz w:val="22"/>
          <w:szCs w:val="22"/>
        </w:rPr>
        <w:t>.</w:t>
      </w:r>
      <w:r w:rsidR="001B0A24" w:rsidRPr="00895922">
        <w:rPr>
          <w:rFonts w:ascii="Arial" w:hAnsi="Arial" w:cs="Arial"/>
          <w:sz w:val="22"/>
          <w:szCs w:val="22"/>
        </w:rPr>
        <w:t xml:space="preserve">  </w:t>
      </w:r>
      <w:r w:rsidR="001F5B64" w:rsidRPr="00895922">
        <w:rPr>
          <w:rFonts w:ascii="Arial" w:hAnsi="Arial" w:cs="Arial"/>
          <w:sz w:val="22"/>
          <w:szCs w:val="22"/>
        </w:rPr>
        <w:t xml:space="preserve">Where a list of events is not prescribed, insurers </w:t>
      </w:r>
      <w:r w:rsidR="004C642C" w:rsidRPr="00895922">
        <w:rPr>
          <w:rFonts w:ascii="Arial" w:hAnsi="Arial" w:cs="Arial"/>
          <w:sz w:val="22"/>
          <w:szCs w:val="22"/>
        </w:rPr>
        <w:t>may simply</w:t>
      </w:r>
      <w:r w:rsidR="001F5B64" w:rsidRPr="00895922">
        <w:rPr>
          <w:rFonts w:ascii="Arial" w:hAnsi="Arial" w:cs="Arial"/>
          <w:sz w:val="22"/>
          <w:szCs w:val="22"/>
        </w:rPr>
        <w:t xml:space="preserve"> avoid mentioning events that they do not cover</w:t>
      </w:r>
      <w:r w:rsidR="004C642C" w:rsidRPr="00895922">
        <w:rPr>
          <w:rFonts w:ascii="Arial" w:hAnsi="Arial" w:cs="Arial"/>
          <w:sz w:val="22"/>
          <w:szCs w:val="22"/>
        </w:rPr>
        <w:t xml:space="preserve"> but that are not required to be listed in the 'what is </w:t>
      </w:r>
      <w:r w:rsidR="00895922">
        <w:rPr>
          <w:rFonts w:ascii="Arial" w:hAnsi="Arial" w:cs="Arial"/>
          <w:sz w:val="22"/>
          <w:szCs w:val="22"/>
        </w:rPr>
        <w:t>NOT</w:t>
      </w:r>
      <w:r w:rsidR="004C642C" w:rsidRPr="00895922">
        <w:rPr>
          <w:rFonts w:ascii="Arial" w:hAnsi="Arial" w:cs="Arial"/>
          <w:sz w:val="22"/>
          <w:szCs w:val="22"/>
        </w:rPr>
        <w:t xml:space="preserve"> covered' section</w:t>
      </w:r>
      <w:r w:rsidR="001F5B64" w:rsidRPr="00895922">
        <w:rPr>
          <w:rFonts w:ascii="Arial" w:hAnsi="Arial" w:cs="Arial"/>
          <w:sz w:val="22"/>
          <w:szCs w:val="22"/>
        </w:rPr>
        <w:t xml:space="preserve">.  This </w:t>
      </w:r>
      <w:r w:rsidR="0003703A" w:rsidRPr="00895922">
        <w:rPr>
          <w:rFonts w:ascii="Arial" w:hAnsi="Arial" w:cs="Arial"/>
          <w:sz w:val="22"/>
          <w:szCs w:val="22"/>
        </w:rPr>
        <w:t>would be</w:t>
      </w:r>
      <w:r w:rsidR="001B0A24" w:rsidRPr="00895922">
        <w:rPr>
          <w:rFonts w:ascii="Arial" w:hAnsi="Arial" w:cs="Arial"/>
          <w:sz w:val="22"/>
          <w:szCs w:val="22"/>
        </w:rPr>
        <w:t xml:space="preserve"> a poor outcome for consumers, who need to know whether a policy covers a particular risk </w:t>
      </w:r>
      <w:r w:rsidR="00746ED8">
        <w:rPr>
          <w:rFonts w:ascii="Arial" w:hAnsi="Arial" w:cs="Arial"/>
          <w:sz w:val="22"/>
          <w:szCs w:val="22"/>
        </w:rPr>
        <w:t xml:space="preserve">in order to make an informed </w:t>
      </w:r>
      <w:r w:rsidR="007A7727" w:rsidRPr="00895922">
        <w:rPr>
          <w:rFonts w:ascii="Arial" w:hAnsi="Arial" w:cs="Arial"/>
          <w:sz w:val="22"/>
          <w:szCs w:val="22"/>
        </w:rPr>
        <w:t>choice about which policy to buy</w:t>
      </w:r>
      <w:r w:rsidR="001B0A24" w:rsidRPr="00895922">
        <w:rPr>
          <w:rFonts w:ascii="Arial" w:hAnsi="Arial" w:cs="Arial"/>
          <w:sz w:val="22"/>
          <w:szCs w:val="22"/>
        </w:rPr>
        <w:t>.  It would also be directly contrary to the discussion paper's objective for the key facts statement "to allow consumers to quickly and easily check the basic terms of the insurance policy, including the nature of cover and any key exclusions" (para</w:t>
      </w:r>
      <w:r w:rsidR="007A7727" w:rsidRPr="00895922">
        <w:rPr>
          <w:rFonts w:ascii="Arial" w:hAnsi="Arial" w:cs="Arial"/>
          <w:sz w:val="22"/>
          <w:szCs w:val="22"/>
        </w:rPr>
        <w:t>graph</w:t>
      </w:r>
      <w:r w:rsidR="001B0A24" w:rsidRPr="00895922">
        <w:rPr>
          <w:rFonts w:ascii="Arial" w:hAnsi="Arial" w:cs="Arial"/>
          <w:sz w:val="22"/>
          <w:szCs w:val="22"/>
        </w:rPr>
        <w:t xml:space="preserve"> 47). </w:t>
      </w:r>
    </w:p>
    <w:p w:rsidR="00895922" w:rsidRPr="00895922" w:rsidRDefault="00895922" w:rsidP="00895922">
      <w:pPr>
        <w:spacing w:line="276" w:lineRule="auto"/>
        <w:ind w:right="-96"/>
        <w:jc w:val="both"/>
        <w:rPr>
          <w:rFonts w:ascii="Arial" w:hAnsi="Arial" w:cs="Arial"/>
          <w:sz w:val="22"/>
          <w:szCs w:val="22"/>
        </w:rPr>
      </w:pPr>
    </w:p>
    <w:p w:rsidR="00895922" w:rsidRDefault="001B0A24" w:rsidP="00895922">
      <w:pPr>
        <w:spacing w:line="276" w:lineRule="auto"/>
        <w:ind w:right="-96"/>
        <w:jc w:val="both"/>
        <w:rPr>
          <w:rFonts w:ascii="Arial" w:hAnsi="Arial" w:cs="Arial"/>
          <w:sz w:val="22"/>
          <w:szCs w:val="22"/>
        </w:rPr>
      </w:pPr>
      <w:r w:rsidRPr="00895922">
        <w:rPr>
          <w:rFonts w:ascii="Arial" w:hAnsi="Arial" w:cs="Arial"/>
          <w:sz w:val="22"/>
          <w:szCs w:val="22"/>
        </w:rPr>
        <w:t xml:space="preserve">Prescribing a list of events will </w:t>
      </w:r>
      <w:r w:rsidR="00776B0D" w:rsidRPr="00895922">
        <w:rPr>
          <w:rFonts w:ascii="Arial" w:hAnsi="Arial" w:cs="Arial"/>
          <w:sz w:val="22"/>
          <w:szCs w:val="22"/>
        </w:rPr>
        <w:t xml:space="preserve">also ensure </w:t>
      </w:r>
      <w:r w:rsidRPr="00895922">
        <w:rPr>
          <w:rFonts w:ascii="Arial" w:hAnsi="Arial" w:cs="Arial"/>
          <w:sz w:val="22"/>
          <w:szCs w:val="22"/>
        </w:rPr>
        <w:t xml:space="preserve">that consumers are aware that similar </w:t>
      </w:r>
      <w:r w:rsidR="007A7727" w:rsidRPr="00895922">
        <w:rPr>
          <w:rFonts w:ascii="Arial" w:hAnsi="Arial" w:cs="Arial"/>
          <w:sz w:val="22"/>
          <w:szCs w:val="22"/>
        </w:rPr>
        <w:t xml:space="preserve">types of </w:t>
      </w:r>
      <w:r w:rsidRPr="00895922">
        <w:rPr>
          <w:rFonts w:ascii="Arial" w:hAnsi="Arial" w:cs="Arial"/>
          <w:sz w:val="22"/>
          <w:szCs w:val="22"/>
        </w:rPr>
        <w:t>events</w:t>
      </w:r>
      <w:r w:rsidR="00776B0D" w:rsidRPr="00895922">
        <w:rPr>
          <w:rFonts w:ascii="Arial" w:hAnsi="Arial" w:cs="Arial"/>
          <w:sz w:val="22"/>
          <w:szCs w:val="22"/>
        </w:rPr>
        <w:t xml:space="preserve"> may be covered differently</w:t>
      </w:r>
      <w:r w:rsidR="007A7727" w:rsidRPr="00895922">
        <w:rPr>
          <w:rFonts w:ascii="Arial" w:hAnsi="Arial" w:cs="Arial"/>
          <w:sz w:val="22"/>
          <w:szCs w:val="22"/>
        </w:rPr>
        <w:t xml:space="preserve"> by the same insurer</w:t>
      </w:r>
      <w:r w:rsidR="00776B0D" w:rsidRPr="00895922">
        <w:rPr>
          <w:rFonts w:ascii="Arial" w:hAnsi="Arial" w:cs="Arial"/>
          <w:sz w:val="22"/>
          <w:szCs w:val="22"/>
        </w:rPr>
        <w:t xml:space="preserve">.  </w:t>
      </w:r>
      <w:r w:rsidR="00B814D2">
        <w:rPr>
          <w:rFonts w:ascii="Arial" w:hAnsi="Arial" w:cs="Arial"/>
          <w:sz w:val="22"/>
          <w:szCs w:val="22"/>
        </w:rPr>
        <w:t>E</w:t>
      </w:r>
      <w:r w:rsidRPr="00895922">
        <w:rPr>
          <w:rFonts w:ascii="Arial" w:hAnsi="Arial" w:cs="Arial"/>
          <w:sz w:val="22"/>
          <w:szCs w:val="22"/>
        </w:rPr>
        <w:t>ven with a standard flood definition</w:t>
      </w:r>
      <w:r w:rsidR="007A7727" w:rsidRPr="00895922">
        <w:rPr>
          <w:rFonts w:ascii="Arial" w:hAnsi="Arial" w:cs="Arial"/>
          <w:sz w:val="22"/>
          <w:szCs w:val="22"/>
        </w:rPr>
        <w:t>,</w:t>
      </w:r>
      <w:r w:rsidRPr="00895922">
        <w:rPr>
          <w:rFonts w:ascii="Arial" w:hAnsi="Arial" w:cs="Arial"/>
          <w:sz w:val="22"/>
          <w:szCs w:val="22"/>
        </w:rPr>
        <w:t xml:space="preserve"> many consumers will not be aware that their insurance policy insures flood, storm and sea surge damage differently.  </w:t>
      </w:r>
      <w:r w:rsidR="00B21549" w:rsidRPr="00895922">
        <w:rPr>
          <w:rFonts w:ascii="Arial" w:hAnsi="Arial" w:cs="Arial"/>
          <w:sz w:val="22"/>
          <w:szCs w:val="22"/>
        </w:rPr>
        <w:t xml:space="preserve">For example, assume a policy covers </w:t>
      </w:r>
      <w:r w:rsidR="00776B0D" w:rsidRPr="00895922">
        <w:rPr>
          <w:rFonts w:ascii="Arial" w:hAnsi="Arial" w:cs="Arial"/>
          <w:sz w:val="22"/>
          <w:szCs w:val="22"/>
        </w:rPr>
        <w:t>storm</w:t>
      </w:r>
      <w:r w:rsidRPr="00895922">
        <w:rPr>
          <w:rFonts w:ascii="Arial" w:hAnsi="Arial" w:cs="Arial"/>
          <w:sz w:val="22"/>
          <w:szCs w:val="22"/>
        </w:rPr>
        <w:t xml:space="preserve"> damage </w:t>
      </w:r>
      <w:r w:rsidR="00B21549" w:rsidRPr="00895922">
        <w:rPr>
          <w:rFonts w:ascii="Arial" w:hAnsi="Arial" w:cs="Arial"/>
          <w:sz w:val="22"/>
          <w:szCs w:val="22"/>
        </w:rPr>
        <w:t>but not flood damage</w:t>
      </w:r>
      <w:r w:rsidR="00DF2329" w:rsidRPr="00895922">
        <w:rPr>
          <w:rFonts w:ascii="Arial" w:hAnsi="Arial" w:cs="Arial"/>
          <w:sz w:val="22"/>
          <w:szCs w:val="22"/>
        </w:rPr>
        <w:t xml:space="preserve"> and that a list of events is not prescribed</w:t>
      </w:r>
      <w:r w:rsidR="00B21549" w:rsidRPr="00895922">
        <w:rPr>
          <w:rFonts w:ascii="Arial" w:hAnsi="Arial" w:cs="Arial"/>
          <w:sz w:val="22"/>
          <w:szCs w:val="22"/>
        </w:rPr>
        <w:t>.  If the insurer includes 'sto</w:t>
      </w:r>
      <w:r w:rsidR="00DF2329" w:rsidRPr="00895922">
        <w:rPr>
          <w:rFonts w:ascii="Arial" w:hAnsi="Arial" w:cs="Arial"/>
          <w:sz w:val="22"/>
          <w:szCs w:val="22"/>
        </w:rPr>
        <w:t>rm' as an event that is covered</w:t>
      </w:r>
      <w:r w:rsidR="00B21549" w:rsidRPr="00895922">
        <w:rPr>
          <w:rFonts w:ascii="Arial" w:hAnsi="Arial" w:cs="Arial"/>
          <w:sz w:val="22"/>
          <w:szCs w:val="22"/>
        </w:rPr>
        <w:t xml:space="preserve"> but doesn't list 'flood' </w:t>
      </w:r>
      <w:r w:rsidR="007A7727" w:rsidRPr="00895922">
        <w:rPr>
          <w:rFonts w:ascii="Arial" w:hAnsi="Arial" w:cs="Arial"/>
          <w:sz w:val="22"/>
          <w:szCs w:val="22"/>
        </w:rPr>
        <w:t xml:space="preserve">on the statement </w:t>
      </w:r>
      <w:r w:rsidR="00B21549" w:rsidRPr="00895922">
        <w:rPr>
          <w:rFonts w:ascii="Arial" w:hAnsi="Arial" w:cs="Arial"/>
          <w:sz w:val="22"/>
          <w:szCs w:val="22"/>
        </w:rPr>
        <w:t xml:space="preserve">at all, consumers may reasonably assume that a flood following a storm will be covered under their policy (as was the case in Queensland's recent floods).  Where all three risks are listed, </w:t>
      </w:r>
      <w:r w:rsidR="007A7727" w:rsidRPr="00895922">
        <w:rPr>
          <w:rFonts w:ascii="Arial" w:hAnsi="Arial" w:cs="Arial"/>
          <w:sz w:val="22"/>
          <w:szCs w:val="22"/>
        </w:rPr>
        <w:t>a consumer can clearly see that storm is covered but flood is not.</w:t>
      </w:r>
    </w:p>
    <w:p w:rsidR="00895922" w:rsidRDefault="00895922" w:rsidP="00895922">
      <w:pPr>
        <w:spacing w:line="276" w:lineRule="auto"/>
        <w:ind w:right="-96"/>
        <w:jc w:val="both"/>
        <w:rPr>
          <w:rFonts w:ascii="Arial" w:hAnsi="Arial" w:cs="Arial"/>
          <w:sz w:val="22"/>
          <w:szCs w:val="22"/>
        </w:rPr>
      </w:pPr>
    </w:p>
    <w:p w:rsidR="00C1429F" w:rsidRDefault="00895922" w:rsidP="00895922">
      <w:pPr>
        <w:spacing w:line="276" w:lineRule="auto"/>
        <w:ind w:right="-96"/>
        <w:jc w:val="both"/>
        <w:rPr>
          <w:rFonts w:ascii="Arial" w:hAnsi="Arial" w:cs="Arial"/>
          <w:sz w:val="22"/>
          <w:szCs w:val="22"/>
        </w:rPr>
      </w:pPr>
      <w:r>
        <w:rPr>
          <w:rFonts w:ascii="Arial" w:hAnsi="Arial" w:cs="Arial"/>
          <w:sz w:val="22"/>
          <w:szCs w:val="22"/>
        </w:rPr>
        <w:t xml:space="preserve">We also believe that prescribing a list of events is important to, conversely, limit the additional matters that insurers might otherwise choose to include in the 'what is covered' list but that are not essential to the consumer's understanding of the most important features of the product.  There is a risk that, without a prescribed list, insurers would choose to list a number of matters on the key facts statement to make the policy appear more comprehensive and attractive, for example component parts of events that would ordinarily be considered one item or other standard elements of insurance policies.  This would clutter up the statement, making it harder for consumers to read it and </w:t>
      </w:r>
      <w:r w:rsidR="00C1429F">
        <w:rPr>
          <w:rFonts w:ascii="Arial" w:hAnsi="Arial" w:cs="Arial"/>
          <w:sz w:val="22"/>
          <w:szCs w:val="22"/>
        </w:rPr>
        <w:t>identify</w:t>
      </w:r>
      <w:r>
        <w:rPr>
          <w:rFonts w:ascii="Arial" w:hAnsi="Arial" w:cs="Arial"/>
          <w:sz w:val="22"/>
          <w:szCs w:val="22"/>
        </w:rPr>
        <w:t xml:space="preserve"> the most important elements, and potentially turn the statement into more of a marketing or promotional document, undermining the purpose of this reform.</w:t>
      </w:r>
    </w:p>
    <w:p w:rsidR="00C1429F" w:rsidRDefault="00C1429F" w:rsidP="00895922">
      <w:pPr>
        <w:spacing w:line="276" w:lineRule="auto"/>
        <w:ind w:right="-96"/>
        <w:jc w:val="both"/>
        <w:rPr>
          <w:rFonts w:ascii="Arial" w:hAnsi="Arial" w:cs="Arial"/>
          <w:sz w:val="22"/>
          <w:szCs w:val="22"/>
        </w:rPr>
      </w:pPr>
    </w:p>
    <w:p w:rsidR="008B7387" w:rsidRDefault="00C1429F" w:rsidP="00895922">
      <w:pPr>
        <w:spacing w:line="276" w:lineRule="auto"/>
        <w:ind w:right="-96"/>
        <w:jc w:val="both"/>
        <w:rPr>
          <w:rFonts w:ascii="Arial" w:hAnsi="Arial" w:cs="Arial"/>
          <w:sz w:val="22"/>
          <w:szCs w:val="22"/>
        </w:rPr>
      </w:pPr>
      <w:r>
        <w:rPr>
          <w:rFonts w:ascii="Arial" w:hAnsi="Arial" w:cs="Arial"/>
          <w:sz w:val="22"/>
          <w:szCs w:val="22"/>
        </w:rPr>
        <w:t>An</w:t>
      </w:r>
      <w:r w:rsidR="00DF2329" w:rsidRPr="00895922">
        <w:rPr>
          <w:rFonts w:ascii="Arial" w:hAnsi="Arial" w:cs="Arial"/>
          <w:sz w:val="22"/>
          <w:szCs w:val="22"/>
        </w:rPr>
        <w:t xml:space="preserve"> arguable disadvantage of prescribing the list may be that insurers offering cover for events not on the prescribed list will not be able to promote those differences </w:t>
      </w:r>
      <w:r>
        <w:rPr>
          <w:rFonts w:ascii="Arial" w:hAnsi="Arial" w:cs="Arial"/>
          <w:sz w:val="22"/>
          <w:szCs w:val="22"/>
        </w:rPr>
        <w:t>through the key facts statement,</w:t>
      </w:r>
      <w:r w:rsidR="00DF2329" w:rsidRPr="00895922">
        <w:rPr>
          <w:rFonts w:ascii="Arial" w:hAnsi="Arial" w:cs="Arial"/>
          <w:sz w:val="22"/>
          <w:szCs w:val="22"/>
        </w:rPr>
        <w:t xml:space="preserve"> </w:t>
      </w:r>
      <w:r>
        <w:rPr>
          <w:rFonts w:ascii="Arial" w:hAnsi="Arial" w:cs="Arial"/>
          <w:sz w:val="22"/>
          <w:szCs w:val="22"/>
        </w:rPr>
        <w:t>h</w:t>
      </w:r>
      <w:r w:rsidR="00DF2329" w:rsidRPr="00895922">
        <w:rPr>
          <w:rFonts w:ascii="Arial" w:hAnsi="Arial" w:cs="Arial"/>
          <w:sz w:val="22"/>
          <w:szCs w:val="22"/>
        </w:rPr>
        <w:t xml:space="preserve">owever, as </w:t>
      </w:r>
      <w:r>
        <w:rPr>
          <w:rFonts w:ascii="Arial" w:hAnsi="Arial" w:cs="Arial"/>
          <w:sz w:val="22"/>
          <w:szCs w:val="22"/>
        </w:rPr>
        <w:t>noted above the greater risk is precisely that insurers would choose to list too many things on the statement.  If i</w:t>
      </w:r>
      <w:r w:rsidR="00DF2329" w:rsidRPr="00895922">
        <w:rPr>
          <w:rFonts w:ascii="Arial" w:hAnsi="Arial" w:cs="Arial"/>
          <w:sz w:val="22"/>
          <w:szCs w:val="22"/>
        </w:rPr>
        <w:t>nsurance changes over time and</w:t>
      </w:r>
      <w:r>
        <w:rPr>
          <w:rFonts w:ascii="Arial" w:hAnsi="Arial" w:cs="Arial"/>
          <w:sz w:val="22"/>
          <w:szCs w:val="22"/>
        </w:rPr>
        <w:t xml:space="preserve"> </w:t>
      </w:r>
      <w:r w:rsidR="00DF2329" w:rsidRPr="00895922">
        <w:rPr>
          <w:rFonts w:ascii="Arial" w:hAnsi="Arial" w:cs="Arial"/>
          <w:sz w:val="22"/>
          <w:szCs w:val="22"/>
        </w:rPr>
        <w:t>different events</w:t>
      </w:r>
      <w:r>
        <w:rPr>
          <w:rFonts w:ascii="Arial" w:hAnsi="Arial" w:cs="Arial"/>
          <w:sz w:val="22"/>
          <w:szCs w:val="22"/>
        </w:rPr>
        <w:t xml:space="preserve"> emerge that</w:t>
      </w:r>
      <w:r w:rsidR="00DF2329" w:rsidRPr="00895922">
        <w:rPr>
          <w:rFonts w:ascii="Arial" w:hAnsi="Arial" w:cs="Arial"/>
          <w:sz w:val="22"/>
          <w:szCs w:val="22"/>
        </w:rPr>
        <w:t xml:space="preserve"> are of</w:t>
      </w:r>
      <w:r>
        <w:rPr>
          <w:rFonts w:ascii="Arial" w:hAnsi="Arial" w:cs="Arial"/>
          <w:sz w:val="22"/>
          <w:szCs w:val="22"/>
        </w:rPr>
        <w:t xml:space="preserve"> genuinely</w:t>
      </w:r>
      <w:r w:rsidR="00DF2329" w:rsidRPr="00895922">
        <w:rPr>
          <w:rFonts w:ascii="Arial" w:hAnsi="Arial" w:cs="Arial"/>
          <w:sz w:val="22"/>
          <w:szCs w:val="22"/>
        </w:rPr>
        <w:t xml:space="preserve"> more interest to consumers, </w:t>
      </w:r>
      <w:r>
        <w:rPr>
          <w:rFonts w:ascii="Arial" w:hAnsi="Arial" w:cs="Arial"/>
          <w:sz w:val="22"/>
          <w:szCs w:val="22"/>
        </w:rPr>
        <w:t xml:space="preserve">the </w:t>
      </w:r>
      <w:r w:rsidR="00DF2329" w:rsidRPr="00895922">
        <w:rPr>
          <w:rFonts w:ascii="Arial" w:hAnsi="Arial" w:cs="Arial"/>
          <w:sz w:val="22"/>
          <w:szCs w:val="22"/>
        </w:rPr>
        <w:t xml:space="preserve">regulations can be changed to allow other events onto the key facts statement.  In addition, insurers will still be </w:t>
      </w:r>
      <w:r w:rsidR="00C62330">
        <w:rPr>
          <w:rFonts w:ascii="Arial" w:hAnsi="Arial" w:cs="Arial"/>
          <w:sz w:val="22"/>
          <w:szCs w:val="22"/>
        </w:rPr>
        <w:t xml:space="preserve">free and </w:t>
      </w:r>
      <w:r w:rsidR="00DF2329" w:rsidRPr="00895922">
        <w:rPr>
          <w:rFonts w:ascii="Arial" w:hAnsi="Arial" w:cs="Arial"/>
          <w:sz w:val="22"/>
          <w:szCs w:val="22"/>
        </w:rPr>
        <w:t xml:space="preserve">able to mention other types of cover </w:t>
      </w:r>
      <w:r>
        <w:rPr>
          <w:rFonts w:ascii="Arial" w:hAnsi="Arial" w:cs="Arial"/>
          <w:sz w:val="22"/>
          <w:szCs w:val="22"/>
        </w:rPr>
        <w:t>or features t</w:t>
      </w:r>
      <w:r w:rsidR="00DF2329" w:rsidRPr="00895922">
        <w:rPr>
          <w:rFonts w:ascii="Arial" w:hAnsi="Arial" w:cs="Arial"/>
          <w:sz w:val="22"/>
          <w:szCs w:val="22"/>
        </w:rPr>
        <w:t>hrough their promotional material</w:t>
      </w:r>
      <w:r w:rsidR="00C62330">
        <w:rPr>
          <w:rFonts w:ascii="Arial" w:hAnsi="Arial" w:cs="Arial"/>
          <w:sz w:val="22"/>
          <w:szCs w:val="22"/>
        </w:rPr>
        <w:t>.</w:t>
      </w:r>
    </w:p>
    <w:p w:rsidR="00895922" w:rsidRPr="00895922" w:rsidRDefault="00895922" w:rsidP="00895922">
      <w:pPr>
        <w:spacing w:line="276" w:lineRule="auto"/>
        <w:ind w:right="-96"/>
        <w:jc w:val="both"/>
        <w:rPr>
          <w:rFonts w:ascii="Arial" w:hAnsi="Arial" w:cs="Arial"/>
          <w:sz w:val="22"/>
          <w:szCs w:val="22"/>
        </w:rPr>
      </w:pPr>
    </w:p>
    <w:p w:rsidR="00E863E6" w:rsidRPr="00501161" w:rsidRDefault="00E863E6" w:rsidP="00044D77">
      <w:pPr>
        <w:pStyle w:val="BoxText"/>
        <w:rPr>
          <w:rFonts w:ascii="Arial" w:hAnsi="Arial" w:cs="Arial"/>
          <w:i/>
          <w:szCs w:val="22"/>
        </w:rPr>
      </w:pPr>
      <w:r w:rsidRPr="00501161">
        <w:rPr>
          <w:rFonts w:ascii="Arial" w:hAnsi="Arial" w:cs="Arial"/>
          <w:i/>
          <w:szCs w:val="22"/>
        </w:rPr>
        <w:lastRenderedPageBreak/>
        <w:t>Is the list of prescribed events in the standard cover regulations suitable for that purpose?</w:t>
      </w:r>
    </w:p>
    <w:p w:rsidR="00977590" w:rsidRDefault="00775654" w:rsidP="00B1566E">
      <w:pPr>
        <w:spacing w:line="276" w:lineRule="auto"/>
        <w:ind w:right="-96"/>
        <w:jc w:val="both"/>
        <w:rPr>
          <w:rFonts w:ascii="Arial" w:hAnsi="Arial" w:cs="Arial"/>
          <w:sz w:val="22"/>
          <w:szCs w:val="22"/>
        </w:rPr>
      </w:pPr>
      <w:r w:rsidRPr="00B1566E">
        <w:rPr>
          <w:rFonts w:ascii="Arial" w:hAnsi="Arial" w:cs="Arial"/>
          <w:sz w:val="22"/>
          <w:szCs w:val="22"/>
        </w:rPr>
        <w:t>Broadly speaking, y</w:t>
      </w:r>
      <w:r w:rsidR="00776B0D" w:rsidRPr="00B1566E">
        <w:rPr>
          <w:rFonts w:ascii="Arial" w:hAnsi="Arial" w:cs="Arial"/>
          <w:sz w:val="22"/>
          <w:szCs w:val="22"/>
        </w:rPr>
        <w:t xml:space="preserve">es.  </w:t>
      </w:r>
      <w:r w:rsidR="00C07CC8" w:rsidRPr="00B1566E">
        <w:rPr>
          <w:rFonts w:ascii="Arial" w:hAnsi="Arial" w:cs="Arial"/>
          <w:sz w:val="22"/>
          <w:szCs w:val="22"/>
        </w:rPr>
        <w:t>T</w:t>
      </w:r>
      <w:r w:rsidR="00776B0D" w:rsidRPr="00B1566E">
        <w:rPr>
          <w:rFonts w:ascii="Arial" w:hAnsi="Arial" w:cs="Arial"/>
          <w:sz w:val="22"/>
          <w:szCs w:val="22"/>
        </w:rPr>
        <w:t xml:space="preserve">he existing list of events prescribed in the regulations </w:t>
      </w:r>
      <w:r w:rsidR="00C07CC8" w:rsidRPr="00B1566E">
        <w:rPr>
          <w:rFonts w:ascii="Arial" w:hAnsi="Arial" w:cs="Arial"/>
          <w:sz w:val="22"/>
          <w:szCs w:val="22"/>
        </w:rPr>
        <w:t xml:space="preserve">is intended to reflect the most important events consumers would typically expect to be covered for under these policies, thus it would be sensible to use the same list to determine the events </w:t>
      </w:r>
      <w:r w:rsidR="00977590" w:rsidRPr="00B1566E">
        <w:rPr>
          <w:rFonts w:ascii="Arial" w:hAnsi="Arial" w:cs="Arial"/>
          <w:sz w:val="22"/>
          <w:szCs w:val="22"/>
        </w:rPr>
        <w:t xml:space="preserve">most </w:t>
      </w:r>
      <w:r w:rsidR="00C07CC8" w:rsidRPr="00B1566E">
        <w:rPr>
          <w:rFonts w:ascii="Arial" w:hAnsi="Arial" w:cs="Arial"/>
          <w:sz w:val="22"/>
          <w:szCs w:val="22"/>
        </w:rPr>
        <w:t>relevant for inclusion in a key facts statement</w:t>
      </w:r>
      <w:r w:rsidR="00977590" w:rsidRPr="00B1566E">
        <w:rPr>
          <w:rFonts w:ascii="Arial" w:hAnsi="Arial" w:cs="Arial"/>
          <w:sz w:val="22"/>
          <w:szCs w:val="22"/>
        </w:rPr>
        <w:t>.</w:t>
      </w:r>
      <w:r w:rsidR="00C07CC8" w:rsidRPr="00B1566E">
        <w:rPr>
          <w:rFonts w:ascii="Arial" w:hAnsi="Arial" w:cs="Arial"/>
          <w:sz w:val="22"/>
          <w:szCs w:val="22"/>
        </w:rPr>
        <w:t xml:space="preserve"> </w:t>
      </w:r>
      <w:r w:rsidR="00977590" w:rsidRPr="00B1566E">
        <w:rPr>
          <w:rFonts w:ascii="Arial" w:hAnsi="Arial" w:cs="Arial"/>
          <w:sz w:val="22"/>
          <w:szCs w:val="22"/>
        </w:rPr>
        <w:t xml:space="preserve"> Using the existing list </w:t>
      </w:r>
      <w:r w:rsidR="00776B0D" w:rsidRPr="00B1566E">
        <w:rPr>
          <w:rFonts w:ascii="Arial" w:hAnsi="Arial" w:cs="Arial"/>
          <w:sz w:val="22"/>
          <w:szCs w:val="22"/>
        </w:rPr>
        <w:t>will</w:t>
      </w:r>
      <w:r w:rsidR="00977590" w:rsidRPr="00B1566E">
        <w:rPr>
          <w:rFonts w:ascii="Arial" w:hAnsi="Arial" w:cs="Arial"/>
          <w:sz w:val="22"/>
          <w:szCs w:val="22"/>
        </w:rPr>
        <w:t xml:space="preserve"> also</w:t>
      </w:r>
      <w:r w:rsidR="00776B0D" w:rsidRPr="00B1566E">
        <w:rPr>
          <w:rFonts w:ascii="Arial" w:hAnsi="Arial" w:cs="Arial"/>
          <w:sz w:val="22"/>
          <w:szCs w:val="22"/>
        </w:rPr>
        <w:t xml:space="preserve"> be </w:t>
      </w:r>
      <w:r w:rsidR="00C53ED4" w:rsidRPr="00B1566E">
        <w:rPr>
          <w:rFonts w:ascii="Arial" w:hAnsi="Arial" w:cs="Arial"/>
          <w:sz w:val="22"/>
          <w:szCs w:val="22"/>
        </w:rPr>
        <w:t>admin</w:t>
      </w:r>
      <w:r w:rsidR="00776B0D" w:rsidRPr="00B1566E">
        <w:rPr>
          <w:rFonts w:ascii="Arial" w:hAnsi="Arial" w:cs="Arial"/>
          <w:sz w:val="22"/>
          <w:szCs w:val="22"/>
        </w:rPr>
        <w:t xml:space="preserve">istratively efficient and avoid delay in determining a new list.  </w:t>
      </w:r>
    </w:p>
    <w:p w:rsidR="00B1566E" w:rsidRPr="00B1566E" w:rsidRDefault="00B1566E" w:rsidP="00B1566E">
      <w:pPr>
        <w:spacing w:line="276" w:lineRule="auto"/>
        <w:ind w:right="-96"/>
        <w:jc w:val="both"/>
        <w:rPr>
          <w:rFonts w:ascii="Arial" w:hAnsi="Arial" w:cs="Arial"/>
          <w:sz w:val="22"/>
          <w:szCs w:val="22"/>
        </w:rPr>
      </w:pPr>
    </w:p>
    <w:p w:rsidR="00C53ED4" w:rsidRDefault="00776B0D" w:rsidP="00B1566E">
      <w:pPr>
        <w:spacing w:line="276" w:lineRule="auto"/>
        <w:ind w:right="-96"/>
        <w:jc w:val="both"/>
        <w:rPr>
          <w:rFonts w:ascii="Arial" w:hAnsi="Arial" w:cs="Arial"/>
          <w:sz w:val="22"/>
          <w:szCs w:val="22"/>
        </w:rPr>
      </w:pPr>
      <w:r w:rsidRPr="00B1566E">
        <w:rPr>
          <w:rFonts w:ascii="Arial" w:hAnsi="Arial" w:cs="Arial"/>
          <w:sz w:val="22"/>
          <w:szCs w:val="22"/>
        </w:rPr>
        <w:t>We note however that</w:t>
      </w:r>
      <w:r w:rsidR="008B7387" w:rsidRPr="00B1566E">
        <w:rPr>
          <w:rFonts w:ascii="Arial" w:hAnsi="Arial" w:cs="Arial"/>
          <w:sz w:val="22"/>
          <w:szCs w:val="22"/>
        </w:rPr>
        <w:t xml:space="preserve"> the prescribed </w:t>
      </w:r>
      <w:r w:rsidR="00977590" w:rsidRPr="00B1566E">
        <w:rPr>
          <w:rFonts w:ascii="Arial" w:hAnsi="Arial" w:cs="Arial"/>
          <w:sz w:val="22"/>
          <w:szCs w:val="22"/>
        </w:rPr>
        <w:t xml:space="preserve">standard cover </w:t>
      </w:r>
      <w:r w:rsidR="008B7387" w:rsidRPr="00B1566E">
        <w:rPr>
          <w:rFonts w:ascii="Arial" w:hAnsi="Arial" w:cs="Arial"/>
          <w:sz w:val="22"/>
          <w:szCs w:val="22"/>
        </w:rPr>
        <w:t>events for home</w:t>
      </w:r>
      <w:r w:rsidRPr="00B1566E">
        <w:rPr>
          <w:rFonts w:ascii="Arial" w:hAnsi="Arial" w:cs="Arial"/>
          <w:sz w:val="22"/>
          <w:szCs w:val="22"/>
        </w:rPr>
        <w:t xml:space="preserve"> building</w:t>
      </w:r>
      <w:r w:rsidR="008B7387" w:rsidRPr="00B1566E">
        <w:rPr>
          <w:rFonts w:ascii="Arial" w:hAnsi="Arial" w:cs="Arial"/>
          <w:sz w:val="22"/>
          <w:szCs w:val="22"/>
        </w:rPr>
        <w:t xml:space="preserve">s and home contents insurance </w:t>
      </w:r>
      <w:r w:rsidR="00977590" w:rsidRPr="00B1566E">
        <w:rPr>
          <w:rFonts w:ascii="Arial" w:hAnsi="Arial" w:cs="Arial"/>
          <w:sz w:val="22"/>
          <w:szCs w:val="22"/>
        </w:rPr>
        <w:t xml:space="preserve">are set out in a list that has some events in groups (for example storm, tempest, flood, action of the sea, land slide) that should be separately set out in a key facts statement, and uses some terminology that could be simplified.  We therefore suggest that the list of </w:t>
      </w:r>
      <w:r w:rsidR="002023E4" w:rsidRPr="00B1566E">
        <w:rPr>
          <w:rFonts w:ascii="Arial" w:hAnsi="Arial" w:cs="Arial"/>
          <w:sz w:val="22"/>
          <w:szCs w:val="22"/>
        </w:rPr>
        <w:t xml:space="preserve">'what is covered' </w:t>
      </w:r>
      <w:r w:rsidR="00977590" w:rsidRPr="00B1566E">
        <w:rPr>
          <w:rFonts w:ascii="Arial" w:hAnsi="Arial" w:cs="Arial"/>
          <w:sz w:val="22"/>
          <w:szCs w:val="22"/>
        </w:rPr>
        <w:t>events prescribed for the key facts statement be based on</w:t>
      </w:r>
      <w:r w:rsidR="002023E4" w:rsidRPr="00B1566E">
        <w:rPr>
          <w:rFonts w:ascii="Arial" w:hAnsi="Arial" w:cs="Arial"/>
          <w:sz w:val="22"/>
          <w:szCs w:val="22"/>
        </w:rPr>
        <w:t>,</w:t>
      </w:r>
      <w:r w:rsidR="00977590" w:rsidRPr="00B1566E">
        <w:rPr>
          <w:rFonts w:ascii="Arial" w:hAnsi="Arial" w:cs="Arial"/>
          <w:sz w:val="22"/>
          <w:szCs w:val="22"/>
        </w:rPr>
        <w:t xml:space="preserve"> but a </w:t>
      </w:r>
      <w:r w:rsidR="002023E4" w:rsidRPr="00B1566E">
        <w:rPr>
          <w:rFonts w:ascii="Arial" w:hAnsi="Arial" w:cs="Arial"/>
          <w:sz w:val="22"/>
          <w:szCs w:val="22"/>
        </w:rPr>
        <w:t>clearer</w:t>
      </w:r>
      <w:r w:rsidR="00977590" w:rsidRPr="00B1566E">
        <w:rPr>
          <w:rFonts w:ascii="Arial" w:hAnsi="Arial" w:cs="Arial"/>
          <w:sz w:val="22"/>
          <w:szCs w:val="22"/>
        </w:rPr>
        <w:t xml:space="preserve"> version of</w:t>
      </w:r>
      <w:r w:rsidR="002023E4" w:rsidRPr="00B1566E">
        <w:rPr>
          <w:rFonts w:ascii="Arial" w:hAnsi="Arial" w:cs="Arial"/>
          <w:sz w:val="22"/>
          <w:szCs w:val="22"/>
        </w:rPr>
        <w:t>,</w:t>
      </w:r>
      <w:r w:rsidR="00977590" w:rsidRPr="00B1566E">
        <w:rPr>
          <w:rFonts w:ascii="Arial" w:hAnsi="Arial" w:cs="Arial"/>
          <w:sz w:val="22"/>
          <w:szCs w:val="22"/>
        </w:rPr>
        <w:t xml:space="preserve"> the</w:t>
      </w:r>
      <w:r w:rsidR="002023E4" w:rsidRPr="00B1566E">
        <w:rPr>
          <w:rFonts w:ascii="Arial" w:hAnsi="Arial" w:cs="Arial"/>
          <w:sz w:val="22"/>
          <w:szCs w:val="22"/>
        </w:rPr>
        <w:t xml:space="preserve"> list of events in the</w:t>
      </w:r>
      <w:r w:rsidR="00977590" w:rsidRPr="00B1566E">
        <w:rPr>
          <w:rFonts w:ascii="Arial" w:hAnsi="Arial" w:cs="Arial"/>
          <w:sz w:val="22"/>
          <w:szCs w:val="22"/>
        </w:rPr>
        <w:t xml:space="preserve"> </w:t>
      </w:r>
      <w:r w:rsidR="002023E4" w:rsidRPr="00B1566E">
        <w:rPr>
          <w:rFonts w:ascii="Arial" w:hAnsi="Arial" w:cs="Arial"/>
          <w:sz w:val="22"/>
          <w:szCs w:val="22"/>
        </w:rPr>
        <w:t>standard</w:t>
      </w:r>
      <w:r w:rsidR="00977590" w:rsidRPr="00B1566E">
        <w:rPr>
          <w:rFonts w:ascii="Arial" w:hAnsi="Arial" w:cs="Arial"/>
          <w:sz w:val="22"/>
          <w:szCs w:val="22"/>
        </w:rPr>
        <w:t xml:space="preserve"> cover regulations.  </w:t>
      </w:r>
      <w:r w:rsidR="002023E4" w:rsidRPr="00B1566E">
        <w:rPr>
          <w:rFonts w:ascii="Arial" w:hAnsi="Arial" w:cs="Arial"/>
          <w:sz w:val="22"/>
          <w:szCs w:val="22"/>
        </w:rPr>
        <w:t>These</w:t>
      </w:r>
      <w:r w:rsidR="00977590" w:rsidRPr="00B1566E">
        <w:rPr>
          <w:rFonts w:ascii="Arial" w:hAnsi="Arial" w:cs="Arial"/>
          <w:sz w:val="22"/>
          <w:szCs w:val="22"/>
        </w:rPr>
        <w:t xml:space="preserve"> </w:t>
      </w:r>
      <w:r w:rsidR="008B7387" w:rsidRPr="00B1566E">
        <w:rPr>
          <w:rFonts w:ascii="Arial" w:hAnsi="Arial" w:cs="Arial"/>
          <w:sz w:val="22"/>
          <w:szCs w:val="22"/>
        </w:rPr>
        <w:t xml:space="preserve">would </w:t>
      </w:r>
      <w:r w:rsidR="00977590" w:rsidRPr="00B1566E">
        <w:rPr>
          <w:rFonts w:ascii="Arial" w:hAnsi="Arial" w:cs="Arial"/>
          <w:sz w:val="22"/>
          <w:szCs w:val="22"/>
        </w:rPr>
        <w:t xml:space="preserve">also </w:t>
      </w:r>
      <w:r w:rsidR="008B7387" w:rsidRPr="00B1566E">
        <w:rPr>
          <w:rFonts w:ascii="Arial" w:hAnsi="Arial" w:cs="Arial"/>
          <w:sz w:val="22"/>
          <w:szCs w:val="22"/>
        </w:rPr>
        <w:t xml:space="preserve">require a list of </w:t>
      </w:r>
      <w:r w:rsidR="00977590" w:rsidRPr="00B1566E">
        <w:rPr>
          <w:rFonts w:ascii="Arial" w:hAnsi="Arial" w:cs="Arial"/>
          <w:sz w:val="22"/>
          <w:szCs w:val="22"/>
        </w:rPr>
        <w:t xml:space="preserve">over </w:t>
      </w:r>
      <w:r w:rsidR="008B7387" w:rsidRPr="00B1566E">
        <w:rPr>
          <w:rFonts w:ascii="Arial" w:hAnsi="Arial" w:cs="Arial"/>
          <w:sz w:val="22"/>
          <w:szCs w:val="22"/>
        </w:rPr>
        <w:t>15 events.  This may mean the key facts statement needs to be re</w:t>
      </w:r>
      <w:r w:rsidR="00044D77" w:rsidRPr="00B1566E">
        <w:rPr>
          <w:rFonts w:ascii="Arial" w:hAnsi="Arial" w:cs="Arial"/>
          <w:sz w:val="22"/>
          <w:szCs w:val="22"/>
        </w:rPr>
        <w:t>-formatted</w:t>
      </w:r>
      <w:r w:rsidR="008B7387" w:rsidRPr="00B1566E">
        <w:rPr>
          <w:rFonts w:ascii="Arial" w:hAnsi="Arial" w:cs="Arial"/>
          <w:sz w:val="22"/>
          <w:szCs w:val="22"/>
        </w:rPr>
        <w:t xml:space="preserve"> to </w:t>
      </w:r>
      <w:r w:rsidR="00044D77" w:rsidRPr="00B1566E">
        <w:rPr>
          <w:rFonts w:ascii="Arial" w:hAnsi="Arial" w:cs="Arial"/>
          <w:sz w:val="22"/>
          <w:szCs w:val="22"/>
        </w:rPr>
        <w:t xml:space="preserve">fit </w:t>
      </w:r>
      <w:r w:rsidR="00977590" w:rsidRPr="00B1566E">
        <w:rPr>
          <w:rFonts w:ascii="Arial" w:hAnsi="Arial" w:cs="Arial"/>
          <w:sz w:val="22"/>
          <w:szCs w:val="22"/>
        </w:rPr>
        <w:t>a</w:t>
      </w:r>
      <w:r w:rsidR="00044D77" w:rsidRPr="00B1566E">
        <w:rPr>
          <w:rFonts w:ascii="Arial" w:hAnsi="Arial" w:cs="Arial"/>
          <w:sz w:val="22"/>
          <w:szCs w:val="22"/>
        </w:rPr>
        <w:t xml:space="preserve"> larger table</w:t>
      </w:r>
      <w:r w:rsidR="008B7387" w:rsidRPr="00B1566E">
        <w:rPr>
          <w:rFonts w:ascii="Arial" w:hAnsi="Arial" w:cs="Arial"/>
          <w:sz w:val="22"/>
          <w:szCs w:val="22"/>
        </w:rPr>
        <w:t>.</w:t>
      </w:r>
    </w:p>
    <w:p w:rsidR="00746ED8" w:rsidRPr="00B1566E" w:rsidRDefault="00746ED8" w:rsidP="00B1566E">
      <w:pPr>
        <w:spacing w:line="276" w:lineRule="auto"/>
        <w:ind w:right="-96"/>
        <w:jc w:val="both"/>
        <w:rPr>
          <w:rFonts w:ascii="Arial" w:hAnsi="Arial" w:cs="Arial"/>
          <w:sz w:val="22"/>
          <w:szCs w:val="22"/>
        </w:rPr>
      </w:pPr>
    </w:p>
    <w:p w:rsidR="00262E2F" w:rsidRPr="00501161" w:rsidRDefault="00E863E6" w:rsidP="00044D77">
      <w:pPr>
        <w:pStyle w:val="BoxText"/>
        <w:rPr>
          <w:rFonts w:ascii="Arial" w:hAnsi="Arial" w:cs="Arial"/>
          <w:i/>
          <w:szCs w:val="22"/>
        </w:rPr>
      </w:pPr>
      <w:r w:rsidRPr="00501161">
        <w:rPr>
          <w:rFonts w:ascii="Arial" w:hAnsi="Arial" w:cs="Arial"/>
          <w:i/>
          <w:szCs w:val="22"/>
        </w:rPr>
        <w:t>If an order of events were to be prescribed, what is an appropriate way to determine the order?</w:t>
      </w:r>
    </w:p>
    <w:p w:rsidR="00536830" w:rsidRPr="00FC6741" w:rsidRDefault="00B1115A" w:rsidP="00FC6741">
      <w:pPr>
        <w:spacing w:line="276" w:lineRule="auto"/>
        <w:ind w:right="-96"/>
        <w:jc w:val="both"/>
        <w:rPr>
          <w:rFonts w:ascii="Arial" w:hAnsi="Arial" w:cs="Arial"/>
          <w:sz w:val="22"/>
          <w:szCs w:val="22"/>
        </w:rPr>
      </w:pPr>
      <w:r w:rsidRPr="00FC6741">
        <w:rPr>
          <w:rFonts w:ascii="Arial" w:hAnsi="Arial" w:cs="Arial"/>
          <w:sz w:val="22"/>
          <w:szCs w:val="22"/>
        </w:rPr>
        <w:t>We believe the order of events should be prescribed to make the key facts statements as standardised as possible.  While we have no view on the specific order, we suggest that e</w:t>
      </w:r>
      <w:r w:rsidR="00536830" w:rsidRPr="00FC6741">
        <w:rPr>
          <w:rFonts w:ascii="Arial" w:hAnsi="Arial" w:cs="Arial"/>
          <w:sz w:val="22"/>
          <w:szCs w:val="22"/>
        </w:rPr>
        <w:t>vents that are similar (for exam</w:t>
      </w:r>
      <w:r w:rsidR="00776B0D" w:rsidRPr="00FC6741">
        <w:rPr>
          <w:rFonts w:ascii="Arial" w:hAnsi="Arial" w:cs="Arial"/>
          <w:sz w:val="22"/>
          <w:szCs w:val="22"/>
        </w:rPr>
        <w:t>ple, storm, flood and sea surge</w:t>
      </w:r>
      <w:r w:rsidR="00536830" w:rsidRPr="00FC6741">
        <w:rPr>
          <w:rFonts w:ascii="Arial" w:hAnsi="Arial" w:cs="Arial"/>
          <w:sz w:val="22"/>
          <w:szCs w:val="22"/>
        </w:rPr>
        <w:t xml:space="preserve">) need to be </w:t>
      </w:r>
      <w:r w:rsidR="00284677" w:rsidRPr="00FC6741">
        <w:rPr>
          <w:rFonts w:ascii="Arial" w:hAnsi="Arial" w:cs="Arial"/>
          <w:sz w:val="22"/>
          <w:szCs w:val="22"/>
        </w:rPr>
        <w:t>listed separately but follow one another in the order</w:t>
      </w:r>
      <w:r w:rsidR="00536830" w:rsidRPr="00FC6741">
        <w:rPr>
          <w:rFonts w:ascii="Arial" w:hAnsi="Arial" w:cs="Arial"/>
          <w:sz w:val="22"/>
          <w:szCs w:val="22"/>
        </w:rPr>
        <w:t xml:space="preserve"> to ensure consumers understand that they are separate risks and may be treated</w:t>
      </w:r>
      <w:r w:rsidR="00044D77" w:rsidRPr="00FC6741">
        <w:rPr>
          <w:rFonts w:ascii="Arial" w:hAnsi="Arial" w:cs="Arial"/>
          <w:sz w:val="22"/>
          <w:szCs w:val="22"/>
        </w:rPr>
        <w:t xml:space="preserve"> differently under the policy.</w:t>
      </w:r>
    </w:p>
    <w:p w:rsidR="00FC6741" w:rsidRPr="00501161" w:rsidRDefault="00FC6741" w:rsidP="00FC6741">
      <w:pPr>
        <w:spacing w:line="276" w:lineRule="auto"/>
        <w:ind w:right="-96"/>
        <w:jc w:val="both"/>
        <w:rPr>
          <w:rFonts w:ascii="Arial" w:hAnsi="Arial" w:cs="Arial"/>
        </w:rPr>
      </w:pPr>
    </w:p>
    <w:p w:rsidR="00610ECB" w:rsidRPr="00501161" w:rsidRDefault="00E863E6" w:rsidP="00044D77">
      <w:pPr>
        <w:spacing w:after="240" w:line="276" w:lineRule="auto"/>
        <w:ind w:right="-96"/>
        <w:jc w:val="both"/>
        <w:rPr>
          <w:rFonts w:ascii="Arial" w:hAnsi="Arial" w:cs="Arial"/>
          <w:i/>
          <w:sz w:val="22"/>
          <w:szCs w:val="22"/>
        </w:rPr>
      </w:pPr>
      <w:r w:rsidRPr="00501161">
        <w:rPr>
          <w:rFonts w:ascii="Arial" w:hAnsi="Arial" w:cs="Arial"/>
          <w:i/>
          <w:sz w:val="22"/>
          <w:szCs w:val="22"/>
        </w:rPr>
        <w:t>Should there be any prescription of how the covered event is described in the list?  What sort of rule could be appropriate?</w:t>
      </w:r>
    </w:p>
    <w:p w:rsidR="00781E09" w:rsidRPr="00501161" w:rsidRDefault="00710D38" w:rsidP="00FC6741">
      <w:pPr>
        <w:spacing w:line="276" w:lineRule="auto"/>
        <w:ind w:right="-96"/>
        <w:jc w:val="both"/>
        <w:rPr>
          <w:rFonts w:ascii="Arial" w:hAnsi="Arial" w:cs="Arial"/>
          <w:sz w:val="22"/>
          <w:szCs w:val="22"/>
        </w:rPr>
      </w:pPr>
      <w:r w:rsidRPr="00501161">
        <w:rPr>
          <w:rFonts w:ascii="Arial" w:hAnsi="Arial" w:cs="Arial"/>
          <w:sz w:val="22"/>
          <w:szCs w:val="22"/>
        </w:rPr>
        <w:t>Wherever possible</w:t>
      </w:r>
      <w:r w:rsidR="00044D77" w:rsidRPr="00501161">
        <w:rPr>
          <w:rFonts w:ascii="Arial" w:hAnsi="Arial" w:cs="Arial"/>
          <w:sz w:val="22"/>
          <w:szCs w:val="22"/>
        </w:rPr>
        <w:t>,</w:t>
      </w:r>
      <w:r w:rsidR="0003703A" w:rsidRPr="00501161">
        <w:rPr>
          <w:rFonts w:ascii="Arial" w:hAnsi="Arial" w:cs="Arial"/>
          <w:sz w:val="22"/>
          <w:szCs w:val="22"/>
        </w:rPr>
        <w:t xml:space="preserve"> </w:t>
      </w:r>
      <w:r w:rsidR="00610ECB" w:rsidRPr="00501161">
        <w:rPr>
          <w:rFonts w:ascii="Arial" w:hAnsi="Arial" w:cs="Arial"/>
          <w:sz w:val="22"/>
          <w:szCs w:val="22"/>
        </w:rPr>
        <w:t xml:space="preserve">events should be described </w:t>
      </w:r>
      <w:r w:rsidR="0003703A" w:rsidRPr="00501161">
        <w:rPr>
          <w:rFonts w:ascii="Arial" w:hAnsi="Arial" w:cs="Arial"/>
          <w:sz w:val="22"/>
          <w:szCs w:val="22"/>
        </w:rPr>
        <w:t xml:space="preserve">as a single word or phrase accompanied by </w:t>
      </w:r>
      <w:r w:rsidR="00610ECB" w:rsidRPr="00501161">
        <w:rPr>
          <w:rFonts w:ascii="Arial" w:hAnsi="Arial" w:cs="Arial"/>
          <w:sz w:val="22"/>
          <w:szCs w:val="22"/>
        </w:rPr>
        <w:t>a short sentence</w:t>
      </w:r>
      <w:r w:rsidR="0003703A" w:rsidRPr="00501161">
        <w:rPr>
          <w:rFonts w:ascii="Arial" w:hAnsi="Arial" w:cs="Arial"/>
          <w:sz w:val="22"/>
          <w:szCs w:val="22"/>
        </w:rPr>
        <w:t xml:space="preserve"> description, as in the Fire example in the consultation draft</w:t>
      </w:r>
      <w:r w:rsidR="00936C64" w:rsidRPr="00501161">
        <w:rPr>
          <w:rFonts w:ascii="Arial" w:hAnsi="Arial" w:cs="Arial"/>
          <w:sz w:val="22"/>
          <w:szCs w:val="22"/>
        </w:rPr>
        <w:t xml:space="preserve"> on page 11</w:t>
      </w:r>
      <w:r w:rsidR="00610ECB" w:rsidRPr="00501161">
        <w:rPr>
          <w:rFonts w:ascii="Arial" w:hAnsi="Arial" w:cs="Arial"/>
          <w:sz w:val="22"/>
          <w:szCs w:val="22"/>
        </w:rPr>
        <w:t>.  A sentence gives a better understand</w:t>
      </w:r>
      <w:r w:rsidR="00781E09" w:rsidRPr="00501161">
        <w:rPr>
          <w:rFonts w:ascii="Arial" w:hAnsi="Arial" w:cs="Arial"/>
          <w:sz w:val="22"/>
          <w:szCs w:val="22"/>
        </w:rPr>
        <w:t>ing of the risk that is c</w:t>
      </w:r>
      <w:r w:rsidRPr="00501161">
        <w:rPr>
          <w:rFonts w:ascii="Arial" w:hAnsi="Arial" w:cs="Arial"/>
          <w:sz w:val="22"/>
          <w:szCs w:val="22"/>
        </w:rPr>
        <w:t>overed than a single word (even though the single word</w:t>
      </w:r>
      <w:r w:rsidR="00F94D68" w:rsidRPr="00501161">
        <w:rPr>
          <w:rFonts w:ascii="Arial" w:hAnsi="Arial" w:cs="Arial"/>
          <w:sz w:val="22"/>
          <w:szCs w:val="22"/>
        </w:rPr>
        <w:t>s</w:t>
      </w:r>
      <w:r w:rsidRPr="00501161">
        <w:rPr>
          <w:rFonts w:ascii="Arial" w:hAnsi="Arial" w:cs="Arial"/>
          <w:sz w:val="22"/>
          <w:szCs w:val="22"/>
        </w:rPr>
        <w:t xml:space="preserve"> will still be accompanied by </w:t>
      </w:r>
      <w:r w:rsidR="00044D77" w:rsidRPr="00501161">
        <w:rPr>
          <w:rFonts w:ascii="Arial" w:hAnsi="Arial" w:cs="Arial"/>
          <w:sz w:val="22"/>
          <w:szCs w:val="22"/>
        </w:rPr>
        <w:t>a</w:t>
      </w:r>
      <w:r w:rsidR="00781E09" w:rsidRPr="00501161">
        <w:rPr>
          <w:rFonts w:ascii="Arial" w:hAnsi="Arial" w:cs="Arial"/>
          <w:sz w:val="22"/>
          <w:szCs w:val="22"/>
        </w:rPr>
        <w:t xml:space="preserve"> list of exclusions</w:t>
      </w:r>
      <w:r w:rsidR="00F94D68" w:rsidRPr="00501161">
        <w:rPr>
          <w:rFonts w:ascii="Arial" w:hAnsi="Arial" w:cs="Arial"/>
          <w:sz w:val="22"/>
          <w:szCs w:val="22"/>
        </w:rPr>
        <w:t xml:space="preserve"> in the 'what is NOT covered' section</w:t>
      </w:r>
      <w:r w:rsidR="00781E09" w:rsidRPr="00501161">
        <w:rPr>
          <w:rFonts w:ascii="Arial" w:hAnsi="Arial" w:cs="Arial"/>
          <w:sz w:val="22"/>
          <w:szCs w:val="22"/>
        </w:rPr>
        <w:t xml:space="preserve">).  For example, the word 'flood' would be construed </w:t>
      </w:r>
      <w:r w:rsidRPr="00501161">
        <w:rPr>
          <w:rFonts w:ascii="Arial" w:hAnsi="Arial" w:cs="Arial"/>
          <w:sz w:val="22"/>
          <w:szCs w:val="22"/>
        </w:rPr>
        <w:t>broadly by many consumers, but</w:t>
      </w:r>
      <w:r w:rsidR="00781E09" w:rsidRPr="00501161">
        <w:rPr>
          <w:rFonts w:ascii="Arial" w:hAnsi="Arial" w:cs="Arial"/>
          <w:sz w:val="22"/>
          <w:szCs w:val="22"/>
        </w:rPr>
        <w:t xml:space="preserve"> </w:t>
      </w:r>
      <w:r w:rsidRPr="00501161">
        <w:rPr>
          <w:rFonts w:ascii="Arial" w:hAnsi="Arial" w:cs="Arial"/>
          <w:sz w:val="22"/>
          <w:szCs w:val="22"/>
        </w:rPr>
        <w:t>a</w:t>
      </w:r>
      <w:r w:rsidR="00781E09" w:rsidRPr="00501161">
        <w:rPr>
          <w:rFonts w:ascii="Arial" w:hAnsi="Arial" w:cs="Arial"/>
          <w:sz w:val="22"/>
          <w:szCs w:val="22"/>
        </w:rPr>
        <w:t xml:space="preserve">dding a short sentence </w:t>
      </w:r>
      <w:r w:rsidRPr="00501161">
        <w:rPr>
          <w:rFonts w:ascii="Arial" w:hAnsi="Arial" w:cs="Arial"/>
          <w:sz w:val="22"/>
          <w:szCs w:val="22"/>
        </w:rPr>
        <w:t>(</w:t>
      </w:r>
      <w:r w:rsidR="00781E09" w:rsidRPr="00501161">
        <w:rPr>
          <w:rFonts w:ascii="Arial" w:hAnsi="Arial" w:cs="Arial"/>
          <w:sz w:val="22"/>
          <w:szCs w:val="22"/>
        </w:rPr>
        <w:t>based on the proposed standard definition</w:t>
      </w:r>
      <w:r w:rsidRPr="00501161">
        <w:rPr>
          <w:rFonts w:ascii="Arial" w:hAnsi="Arial" w:cs="Arial"/>
          <w:sz w:val="22"/>
          <w:szCs w:val="22"/>
        </w:rPr>
        <w:t>)</w:t>
      </w:r>
      <w:r w:rsidR="00781E09" w:rsidRPr="00501161">
        <w:rPr>
          <w:rFonts w:ascii="Arial" w:hAnsi="Arial" w:cs="Arial"/>
          <w:sz w:val="22"/>
          <w:szCs w:val="22"/>
        </w:rPr>
        <w:t xml:space="preserve"> </w:t>
      </w:r>
      <w:r w:rsidRPr="00501161">
        <w:rPr>
          <w:rFonts w:ascii="Arial" w:hAnsi="Arial" w:cs="Arial"/>
          <w:sz w:val="22"/>
          <w:szCs w:val="22"/>
        </w:rPr>
        <w:t xml:space="preserve">would </w:t>
      </w:r>
      <w:r w:rsidR="00781E09" w:rsidRPr="00501161">
        <w:rPr>
          <w:rFonts w:ascii="Arial" w:hAnsi="Arial" w:cs="Arial"/>
          <w:sz w:val="22"/>
          <w:szCs w:val="22"/>
        </w:rPr>
        <w:t>give</w:t>
      </w:r>
      <w:r w:rsidRPr="00501161">
        <w:rPr>
          <w:rFonts w:ascii="Arial" w:hAnsi="Arial" w:cs="Arial"/>
          <w:sz w:val="22"/>
          <w:szCs w:val="22"/>
        </w:rPr>
        <w:t xml:space="preserve"> a more accurate impression.</w:t>
      </w:r>
      <w:r w:rsidR="00781E09" w:rsidRPr="00501161">
        <w:rPr>
          <w:rFonts w:ascii="Arial" w:hAnsi="Arial" w:cs="Arial"/>
          <w:sz w:val="22"/>
          <w:szCs w:val="22"/>
        </w:rPr>
        <w:t xml:space="preserve"> </w:t>
      </w:r>
      <w:r w:rsidRPr="00501161">
        <w:rPr>
          <w:rFonts w:ascii="Arial" w:hAnsi="Arial" w:cs="Arial"/>
          <w:sz w:val="22"/>
          <w:szCs w:val="22"/>
        </w:rPr>
        <w:t xml:space="preserve"> F</w:t>
      </w:r>
      <w:r w:rsidR="00781E09" w:rsidRPr="00501161">
        <w:rPr>
          <w:rFonts w:ascii="Arial" w:hAnsi="Arial" w:cs="Arial"/>
          <w:sz w:val="22"/>
          <w:szCs w:val="22"/>
        </w:rPr>
        <w:t>or example:</w:t>
      </w:r>
    </w:p>
    <w:p w:rsidR="00781E09" w:rsidRPr="00501161" w:rsidRDefault="00781E09" w:rsidP="005752DD">
      <w:pPr>
        <w:spacing w:line="276" w:lineRule="auto"/>
        <w:ind w:left="720" w:right="-96"/>
        <w:jc w:val="both"/>
        <w:rPr>
          <w:rFonts w:ascii="Arial" w:hAnsi="Arial" w:cs="Arial"/>
          <w:sz w:val="22"/>
          <w:szCs w:val="22"/>
        </w:rPr>
      </w:pPr>
    </w:p>
    <w:p w:rsidR="00781E09" w:rsidRPr="00501161" w:rsidRDefault="00781E09" w:rsidP="00FC6741">
      <w:pPr>
        <w:spacing w:line="276" w:lineRule="auto"/>
        <w:ind w:left="720" w:right="-96"/>
        <w:jc w:val="both"/>
        <w:rPr>
          <w:rFonts w:ascii="Arial" w:hAnsi="Arial" w:cs="Arial"/>
          <w:sz w:val="22"/>
          <w:szCs w:val="22"/>
        </w:rPr>
      </w:pPr>
      <w:r w:rsidRPr="00501161">
        <w:rPr>
          <w:rFonts w:ascii="Arial" w:hAnsi="Arial" w:cs="Arial"/>
          <w:b/>
          <w:sz w:val="22"/>
          <w:szCs w:val="22"/>
        </w:rPr>
        <w:t>Flood:</w:t>
      </w:r>
      <w:r w:rsidRPr="00501161">
        <w:rPr>
          <w:rFonts w:ascii="Arial" w:hAnsi="Arial" w:cs="Arial"/>
          <w:sz w:val="22"/>
          <w:szCs w:val="22"/>
        </w:rPr>
        <w:t xml:space="preserve"> the covering of normally dry land by water escaped from lakes, rivers, reservoirs, canals</w:t>
      </w:r>
      <w:r w:rsidR="00710D38" w:rsidRPr="00501161">
        <w:rPr>
          <w:rFonts w:ascii="Arial" w:hAnsi="Arial" w:cs="Arial"/>
          <w:sz w:val="22"/>
          <w:szCs w:val="22"/>
        </w:rPr>
        <w:t xml:space="preserve"> or dams.  (refer to paragraph </w:t>
      </w:r>
      <w:proofErr w:type="spellStart"/>
      <w:r w:rsidR="00710D38" w:rsidRPr="00501161">
        <w:rPr>
          <w:rFonts w:ascii="Arial" w:hAnsi="Arial" w:cs="Arial"/>
          <w:sz w:val="22"/>
          <w:szCs w:val="22"/>
        </w:rPr>
        <w:t>x.yz</w:t>
      </w:r>
      <w:proofErr w:type="spellEnd"/>
      <w:r w:rsidRPr="00501161">
        <w:rPr>
          <w:rFonts w:ascii="Arial" w:hAnsi="Arial" w:cs="Arial"/>
          <w:sz w:val="22"/>
          <w:szCs w:val="22"/>
        </w:rPr>
        <w:t xml:space="preserve"> in your PDS)</w:t>
      </w:r>
    </w:p>
    <w:p w:rsidR="00781E09" w:rsidRPr="00501161" w:rsidRDefault="00781E09" w:rsidP="005752DD">
      <w:pPr>
        <w:spacing w:line="276" w:lineRule="auto"/>
        <w:ind w:left="720" w:right="-96"/>
        <w:jc w:val="both"/>
        <w:rPr>
          <w:rFonts w:ascii="Arial" w:hAnsi="Arial" w:cs="Arial"/>
          <w:sz w:val="22"/>
          <w:szCs w:val="22"/>
        </w:rPr>
      </w:pPr>
    </w:p>
    <w:p w:rsidR="00781E09" w:rsidRPr="00501161" w:rsidRDefault="00F94D68" w:rsidP="00FC6741">
      <w:pPr>
        <w:spacing w:line="276" w:lineRule="auto"/>
        <w:ind w:right="-96"/>
        <w:jc w:val="both"/>
        <w:rPr>
          <w:rFonts w:ascii="Arial" w:hAnsi="Arial" w:cs="Arial"/>
          <w:sz w:val="22"/>
          <w:szCs w:val="22"/>
        </w:rPr>
      </w:pPr>
      <w:r w:rsidRPr="00501161">
        <w:rPr>
          <w:rFonts w:ascii="Arial" w:hAnsi="Arial" w:cs="Arial"/>
          <w:sz w:val="22"/>
          <w:szCs w:val="22"/>
        </w:rPr>
        <w:t>As noted above, r</w:t>
      </w:r>
      <w:r w:rsidR="00501E0A" w:rsidRPr="00501161">
        <w:rPr>
          <w:rFonts w:ascii="Arial" w:hAnsi="Arial" w:cs="Arial"/>
          <w:sz w:val="22"/>
          <w:szCs w:val="22"/>
        </w:rPr>
        <w:t xml:space="preserve">eferring consumers to the relevant </w:t>
      </w:r>
      <w:r w:rsidR="00EC53A2" w:rsidRPr="00501161">
        <w:rPr>
          <w:rFonts w:ascii="Arial" w:hAnsi="Arial" w:cs="Arial"/>
          <w:sz w:val="22"/>
          <w:szCs w:val="22"/>
        </w:rPr>
        <w:t>section in the PDS (along with general statements about how the key facts statemen</w:t>
      </w:r>
      <w:r w:rsidR="000E2BCE" w:rsidRPr="00501161">
        <w:rPr>
          <w:rFonts w:ascii="Arial" w:hAnsi="Arial" w:cs="Arial"/>
          <w:sz w:val="22"/>
          <w:szCs w:val="22"/>
        </w:rPr>
        <w:t>t is to be used</w:t>
      </w:r>
      <w:r w:rsidR="00EC53A2" w:rsidRPr="00501161">
        <w:rPr>
          <w:rFonts w:ascii="Arial" w:hAnsi="Arial" w:cs="Arial"/>
          <w:sz w:val="22"/>
          <w:szCs w:val="22"/>
        </w:rPr>
        <w:t xml:space="preserve">) </w:t>
      </w:r>
      <w:r w:rsidR="00501E0A" w:rsidRPr="00501161">
        <w:rPr>
          <w:rFonts w:ascii="Arial" w:hAnsi="Arial" w:cs="Arial"/>
          <w:sz w:val="22"/>
          <w:szCs w:val="22"/>
        </w:rPr>
        <w:t xml:space="preserve">will </w:t>
      </w:r>
      <w:r w:rsidRPr="00501161">
        <w:rPr>
          <w:rFonts w:ascii="Arial" w:hAnsi="Arial" w:cs="Arial"/>
          <w:sz w:val="22"/>
          <w:szCs w:val="22"/>
        </w:rPr>
        <w:t>help</w:t>
      </w:r>
      <w:r w:rsidR="00501E0A" w:rsidRPr="00501161">
        <w:rPr>
          <w:rFonts w:ascii="Arial" w:hAnsi="Arial" w:cs="Arial"/>
          <w:sz w:val="22"/>
          <w:szCs w:val="22"/>
        </w:rPr>
        <w:t xml:space="preserve"> </w:t>
      </w:r>
      <w:r w:rsidR="00044D77" w:rsidRPr="00501161">
        <w:rPr>
          <w:rFonts w:ascii="Arial" w:hAnsi="Arial" w:cs="Arial"/>
          <w:sz w:val="22"/>
          <w:szCs w:val="22"/>
        </w:rPr>
        <w:t>consumers</w:t>
      </w:r>
      <w:r w:rsidR="00501E0A" w:rsidRPr="00501161">
        <w:rPr>
          <w:rFonts w:ascii="Arial" w:hAnsi="Arial" w:cs="Arial"/>
          <w:sz w:val="22"/>
          <w:szCs w:val="22"/>
        </w:rPr>
        <w:t xml:space="preserve"> </w:t>
      </w:r>
      <w:r w:rsidRPr="00501161">
        <w:rPr>
          <w:rFonts w:ascii="Arial" w:hAnsi="Arial" w:cs="Arial"/>
          <w:sz w:val="22"/>
          <w:szCs w:val="22"/>
        </w:rPr>
        <w:t>to</w:t>
      </w:r>
      <w:r w:rsidR="00501E0A" w:rsidRPr="00501161">
        <w:rPr>
          <w:rFonts w:ascii="Arial" w:hAnsi="Arial" w:cs="Arial"/>
          <w:sz w:val="22"/>
          <w:szCs w:val="22"/>
        </w:rPr>
        <w:t xml:space="preserve"> find the complete definition and </w:t>
      </w:r>
      <w:r w:rsidR="00044D77" w:rsidRPr="00501161">
        <w:rPr>
          <w:rFonts w:ascii="Arial" w:hAnsi="Arial" w:cs="Arial"/>
          <w:sz w:val="22"/>
          <w:szCs w:val="22"/>
        </w:rPr>
        <w:t xml:space="preserve">not assume the definition on the statement is the contractual definition.  However, a reference to the PDS definition </w:t>
      </w:r>
      <w:r w:rsidRPr="00501161">
        <w:rPr>
          <w:rFonts w:ascii="Arial" w:hAnsi="Arial" w:cs="Arial"/>
          <w:sz w:val="22"/>
          <w:szCs w:val="22"/>
        </w:rPr>
        <w:t>is recommended</w:t>
      </w:r>
      <w:r w:rsidR="00044D77" w:rsidRPr="00501161">
        <w:rPr>
          <w:rFonts w:ascii="Arial" w:hAnsi="Arial" w:cs="Arial"/>
          <w:sz w:val="22"/>
          <w:szCs w:val="22"/>
        </w:rPr>
        <w:t xml:space="preserve"> regardless of whether the event is described in a sentence or a single word.</w:t>
      </w:r>
      <w:r w:rsidR="00501E0A" w:rsidRPr="00501161">
        <w:rPr>
          <w:rFonts w:ascii="Arial" w:hAnsi="Arial" w:cs="Arial"/>
          <w:sz w:val="22"/>
          <w:szCs w:val="22"/>
        </w:rPr>
        <w:t xml:space="preserve"> </w:t>
      </w:r>
    </w:p>
    <w:p w:rsidR="00501E0A" w:rsidRPr="00501161" w:rsidRDefault="00501E0A" w:rsidP="005752DD">
      <w:pPr>
        <w:spacing w:line="276" w:lineRule="auto"/>
        <w:ind w:left="720" w:right="-96"/>
        <w:jc w:val="both"/>
        <w:rPr>
          <w:rFonts w:ascii="Arial" w:hAnsi="Arial" w:cs="Arial"/>
          <w:sz w:val="22"/>
          <w:szCs w:val="22"/>
        </w:rPr>
      </w:pPr>
    </w:p>
    <w:p w:rsidR="00781E09" w:rsidRPr="00501161" w:rsidRDefault="00501E0A" w:rsidP="001A4A77">
      <w:pPr>
        <w:spacing w:line="276" w:lineRule="auto"/>
        <w:ind w:right="-96"/>
        <w:jc w:val="both"/>
        <w:rPr>
          <w:rFonts w:ascii="Arial" w:hAnsi="Arial" w:cs="Arial"/>
          <w:sz w:val="22"/>
          <w:szCs w:val="22"/>
        </w:rPr>
      </w:pPr>
      <w:r w:rsidRPr="00501161">
        <w:rPr>
          <w:rFonts w:ascii="Arial" w:hAnsi="Arial" w:cs="Arial"/>
          <w:sz w:val="22"/>
          <w:szCs w:val="22"/>
        </w:rPr>
        <w:t>W</w:t>
      </w:r>
      <w:r w:rsidR="00781E09" w:rsidRPr="00501161">
        <w:rPr>
          <w:rFonts w:ascii="Arial" w:hAnsi="Arial" w:cs="Arial"/>
          <w:sz w:val="22"/>
          <w:szCs w:val="22"/>
        </w:rPr>
        <w:t>e note</w:t>
      </w:r>
      <w:r w:rsidRPr="00501161">
        <w:rPr>
          <w:rFonts w:ascii="Arial" w:hAnsi="Arial" w:cs="Arial"/>
          <w:sz w:val="22"/>
          <w:szCs w:val="22"/>
        </w:rPr>
        <w:t xml:space="preserve"> that a lack of </w:t>
      </w:r>
      <w:r w:rsidR="00781E09" w:rsidRPr="00501161">
        <w:rPr>
          <w:rFonts w:ascii="Arial" w:hAnsi="Arial" w:cs="Arial"/>
          <w:sz w:val="22"/>
          <w:szCs w:val="22"/>
        </w:rPr>
        <w:t xml:space="preserve">space </w:t>
      </w:r>
      <w:r w:rsidRPr="00501161">
        <w:rPr>
          <w:rFonts w:ascii="Arial" w:hAnsi="Arial" w:cs="Arial"/>
          <w:sz w:val="22"/>
          <w:szCs w:val="22"/>
        </w:rPr>
        <w:t xml:space="preserve">on the key facts </w:t>
      </w:r>
      <w:r w:rsidR="00F94D68" w:rsidRPr="00501161">
        <w:rPr>
          <w:rFonts w:ascii="Arial" w:hAnsi="Arial" w:cs="Arial"/>
          <w:sz w:val="22"/>
          <w:szCs w:val="22"/>
        </w:rPr>
        <w:t>statement</w:t>
      </w:r>
      <w:r w:rsidRPr="00501161">
        <w:rPr>
          <w:rFonts w:ascii="Arial" w:hAnsi="Arial" w:cs="Arial"/>
          <w:sz w:val="22"/>
          <w:szCs w:val="22"/>
        </w:rPr>
        <w:t xml:space="preserve"> may mean it is not possible to describe each event, particularly if insurers are required </w:t>
      </w:r>
      <w:r w:rsidR="00781E09" w:rsidRPr="00501161">
        <w:rPr>
          <w:rFonts w:ascii="Arial" w:hAnsi="Arial" w:cs="Arial"/>
          <w:sz w:val="22"/>
          <w:szCs w:val="22"/>
        </w:rPr>
        <w:t xml:space="preserve">to list 15 or more events.  </w:t>
      </w:r>
      <w:r w:rsidRPr="00501161">
        <w:rPr>
          <w:rFonts w:ascii="Arial" w:hAnsi="Arial" w:cs="Arial"/>
          <w:sz w:val="22"/>
          <w:szCs w:val="22"/>
        </w:rPr>
        <w:t xml:space="preserve">We </w:t>
      </w:r>
      <w:r w:rsidR="00781E09" w:rsidRPr="00501161">
        <w:rPr>
          <w:rFonts w:ascii="Arial" w:hAnsi="Arial" w:cs="Arial"/>
          <w:sz w:val="22"/>
          <w:szCs w:val="22"/>
        </w:rPr>
        <w:t xml:space="preserve">suggest </w:t>
      </w:r>
      <w:r w:rsidRPr="00501161">
        <w:rPr>
          <w:rFonts w:ascii="Arial" w:hAnsi="Arial" w:cs="Arial"/>
          <w:sz w:val="22"/>
          <w:szCs w:val="22"/>
        </w:rPr>
        <w:t xml:space="preserve">this be considered during </w:t>
      </w:r>
      <w:r w:rsidR="00781E09" w:rsidRPr="00501161">
        <w:rPr>
          <w:rFonts w:ascii="Arial" w:hAnsi="Arial" w:cs="Arial"/>
          <w:sz w:val="22"/>
          <w:szCs w:val="22"/>
        </w:rPr>
        <w:t xml:space="preserve"> product testing.</w:t>
      </w:r>
    </w:p>
    <w:p w:rsidR="00610ECB" w:rsidRPr="00501161" w:rsidRDefault="00610ECB" w:rsidP="00443F58">
      <w:pPr>
        <w:spacing w:line="276" w:lineRule="auto"/>
        <w:ind w:right="-96"/>
        <w:jc w:val="both"/>
        <w:rPr>
          <w:rFonts w:ascii="Arial" w:hAnsi="Arial" w:cs="Arial"/>
          <w:sz w:val="22"/>
          <w:szCs w:val="22"/>
        </w:rPr>
      </w:pPr>
    </w:p>
    <w:p w:rsidR="0088597C" w:rsidRPr="00501161" w:rsidRDefault="0088597C" w:rsidP="00443F58">
      <w:pPr>
        <w:spacing w:line="276" w:lineRule="auto"/>
        <w:ind w:right="-96"/>
        <w:jc w:val="both"/>
        <w:rPr>
          <w:rFonts w:ascii="Arial" w:hAnsi="Arial" w:cs="Arial"/>
          <w:i/>
          <w:sz w:val="22"/>
          <w:szCs w:val="22"/>
        </w:rPr>
      </w:pPr>
      <w:r w:rsidRPr="00501161">
        <w:rPr>
          <w:rFonts w:ascii="Arial" w:hAnsi="Arial" w:cs="Arial"/>
          <w:i/>
          <w:sz w:val="22"/>
          <w:szCs w:val="22"/>
        </w:rPr>
        <w:lastRenderedPageBreak/>
        <w:t>If a covered event is subject to a special benefit limit, should that limit be disclosed together with the covered event, in the adjacent ‘what is not covered’ space, or otherwise?</w:t>
      </w:r>
    </w:p>
    <w:p w:rsidR="001A4A77" w:rsidRDefault="001A4A77" w:rsidP="001A4A77">
      <w:pPr>
        <w:spacing w:line="276" w:lineRule="auto"/>
        <w:ind w:right="-96"/>
        <w:jc w:val="both"/>
        <w:rPr>
          <w:rFonts w:ascii="Arial" w:hAnsi="Arial" w:cs="Arial"/>
          <w:sz w:val="22"/>
          <w:szCs w:val="22"/>
        </w:rPr>
      </w:pPr>
    </w:p>
    <w:p w:rsidR="001E7C5C" w:rsidRDefault="0043162D" w:rsidP="001A4A77">
      <w:pPr>
        <w:spacing w:line="276" w:lineRule="auto"/>
        <w:ind w:right="-96"/>
        <w:jc w:val="both"/>
        <w:rPr>
          <w:rFonts w:ascii="Arial" w:hAnsi="Arial" w:cs="Arial"/>
          <w:sz w:val="22"/>
          <w:szCs w:val="22"/>
        </w:rPr>
      </w:pPr>
      <w:r w:rsidRPr="00501161">
        <w:rPr>
          <w:rFonts w:ascii="Arial" w:hAnsi="Arial" w:cs="Arial"/>
          <w:sz w:val="22"/>
          <w:szCs w:val="22"/>
        </w:rPr>
        <w:t xml:space="preserve">We agree that special benefit limits must be disclosed in the key facts statement.  </w:t>
      </w:r>
      <w:r w:rsidR="00044D77" w:rsidRPr="00501161">
        <w:rPr>
          <w:rFonts w:ascii="Arial" w:hAnsi="Arial" w:cs="Arial"/>
          <w:sz w:val="22"/>
          <w:szCs w:val="22"/>
        </w:rPr>
        <w:t>If the format proposed on page 11 of the discussion paper is used, w</w:t>
      </w:r>
      <w:r w:rsidR="005752DD" w:rsidRPr="00501161">
        <w:rPr>
          <w:rFonts w:ascii="Arial" w:hAnsi="Arial" w:cs="Arial"/>
          <w:sz w:val="22"/>
          <w:szCs w:val="22"/>
        </w:rPr>
        <w:t xml:space="preserve">e </w:t>
      </w:r>
      <w:r w:rsidRPr="00501161">
        <w:rPr>
          <w:rFonts w:ascii="Arial" w:hAnsi="Arial" w:cs="Arial"/>
          <w:sz w:val="22"/>
          <w:szCs w:val="22"/>
        </w:rPr>
        <w:t xml:space="preserve">currently </w:t>
      </w:r>
      <w:r w:rsidR="005752DD" w:rsidRPr="00501161">
        <w:rPr>
          <w:rFonts w:ascii="Arial" w:hAnsi="Arial" w:cs="Arial"/>
          <w:sz w:val="22"/>
          <w:szCs w:val="22"/>
        </w:rPr>
        <w:t>h</w:t>
      </w:r>
      <w:r w:rsidR="001A4A77">
        <w:rPr>
          <w:rFonts w:ascii="Arial" w:hAnsi="Arial" w:cs="Arial"/>
          <w:sz w:val="22"/>
          <w:szCs w:val="22"/>
        </w:rPr>
        <w:t xml:space="preserve">ave no </w:t>
      </w:r>
      <w:r w:rsidR="001E7C5C">
        <w:rPr>
          <w:rFonts w:ascii="Arial" w:hAnsi="Arial" w:cs="Arial"/>
          <w:sz w:val="22"/>
          <w:szCs w:val="22"/>
        </w:rPr>
        <w:t xml:space="preserve">strong </w:t>
      </w:r>
      <w:r w:rsidR="001A4A77">
        <w:rPr>
          <w:rFonts w:ascii="Arial" w:hAnsi="Arial" w:cs="Arial"/>
          <w:sz w:val="22"/>
          <w:szCs w:val="22"/>
        </w:rPr>
        <w:t xml:space="preserve">preference </w:t>
      </w:r>
      <w:r w:rsidR="001E7C5C">
        <w:rPr>
          <w:rFonts w:ascii="Arial" w:hAnsi="Arial" w:cs="Arial"/>
          <w:sz w:val="22"/>
          <w:szCs w:val="22"/>
        </w:rPr>
        <w:t xml:space="preserve">in relation to home building policies, </w:t>
      </w:r>
      <w:r w:rsidR="001A4A77">
        <w:rPr>
          <w:rFonts w:ascii="Arial" w:hAnsi="Arial" w:cs="Arial"/>
          <w:sz w:val="22"/>
          <w:szCs w:val="22"/>
        </w:rPr>
        <w:t>as long as such</w:t>
      </w:r>
      <w:r w:rsidR="005752DD" w:rsidRPr="00501161">
        <w:rPr>
          <w:rFonts w:ascii="Arial" w:hAnsi="Arial" w:cs="Arial"/>
          <w:sz w:val="22"/>
          <w:szCs w:val="22"/>
        </w:rPr>
        <w:t xml:space="preserve"> limit</w:t>
      </w:r>
      <w:r w:rsidR="001A4A77">
        <w:rPr>
          <w:rFonts w:ascii="Arial" w:hAnsi="Arial" w:cs="Arial"/>
          <w:sz w:val="22"/>
          <w:szCs w:val="22"/>
        </w:rPr>
        <w:t>s</w:t>
      </w:r>
      <w:r w:rsidR="005752DD" w:rsidRPr="00501161">
        <w:rPr>
          <w:rFonts w:ascii="Arial" w:hAnsi="Arial" w:cs="Arial"/>
          <w:sz w:val="22"/>
          <w:szCs w:val="22"/>
        </w:rPr>
        <w:t xml:space="preserve"> </w:t>
      </w:r>
      <w:r w:rsidR="001A4A77">
        <w:rPr>
          <w:rFonts w:ascii="Arial" w:hAnsi="Arial" w:cs="Arial"/>
          <w:sz w:val="22"/>
          <w:szCs w:val="22"/>
        </w:rPr>
        <w:t>are</w:t>
      </w:r>
      <w:r w:rsidR="005752DD" w:rsidRPr="00501161">
        <w:rPr>
          <w:rFonts w:ascii="Arial" w:hAnsi="Arial" w:cs="Arial"/>
          <w:sz w:val="22"/>
          <w:szCs w:val="22"/>
        </w:rPr>
        <w:t xml:space="preserve"> clear and unambiguous</w:t>
      </w:r>
      <w:r w:rsidR="00044D77" w:rsidRPr="00501161">
        <w:rPr>
          <w:rFonts w:ascii="Arial" w:hAnsi="Arial" w:cs="Arial"/>
          <w:sz w:val="22"/>
          <w:szCs w:val="22"/>
        </w:rPr>
        <w:t xml:space="preserve"> (but see our response </w:t>
      </w:r>
      <w:r w:rsidRPr="00501161">
        <w:rPr>
          <w:rFonts w:ascii="Arial" w:hAnsi="Arial" w:cs="Arial"/>
          <w:sz w:val="22"/>
          <w:szCs w:val="22"/>
        </w:rPr>
        <w:t xml:space="preserve">below </w:t>
      </w:r>
      <w:r w:rsidR="00044D77" w:rsidRPr="00501161">
        <w:rPr>
          <w:rFonts w:ascii="Arial" w:hAnsi="Arial" w:cs="Arial"/>
          <w:sz w:val="22"/>
          <w:szCs w:val="22"/>
        </w:rPr>
        <w:t>regarding the proposed format at section 69 of the discussion paper)</w:t>
      </w:r>
      <w:r w:rsidR="005752DD" w:rsidRPr="00501161">
        <w:rPr>
          <w:rFonts w:ascii="Arial" w:hAnsi="Arial" w:cs="Arial"/>
          <w:sz w:val="22"/>
          <w:szCs w:val="22"/>
        </w:rPr>
        <w:t xml:space="preserve">.  </w:t>
      </w:r>
    </w:p>
    <w:p w:rsidR="001E7C5C" w:rsidRDefault="001E7C5C" w:rsidP="001A4A77">
      <w:pPr>
        <w:spacing w:line="276" w:lineRule="auto"/>
        <w:ind w:right="-96"/>
        <w:jc w:val="both"/>
        <w:rPr>
          <w:rFonts w:ascii="Arial" w:hAnsi="Arial" w:cs="Arial"/>
          <w:sz w:val="22"/>
          <w:szCs w:val="22"/>
        </w:rPr>
      </w:pPr>
    </w:p>
    <w:p w:rsidR="001E7C5C" w:rsidRDefault="001E7C5C" w:rsidP="001A4A77">
      <w:pPr>
        <w:spacing w:line="276" w:lineRule="auto"/>
        <w:ind w:right="-96"/>
        <w:jc w:val="both"/>
        <w:rPr>
          <w:rFonts w:ascii="Arial" w:hAnsi="Arial" w:cs="Arial"/>
          <w:sz w:val="22"/>
          <w:szCs w:val="22"/>
        </w:rPr>
      </w:pPr>
      <w:r>
        <w:rPr>
          <w:rFonts w:ascii="Arial" w:hAnsi="Arial" w:cs="Arial"/>
          <w:sz w:val="22"/>
          <w:szCs w:val="22"/>
        </w:rPr>
        <w:t>In relation to home contents policies, there may be a range of actual goods (or content types) that may be subject to benefit limits, for example jewellery or electronics.  This can be contrasted with benefit limits in relation to the cause of the damage, for example damage caused by flood.  Key facts statements for home content policies do not need a "policy type" section towards the top of the statement because the sum insured versus total replacement issue is not relevant - instead, below the list of events covered and not covered, we submit that the statement should include a section that requires specific contents subject to a special benefit limit to be listed along with the amount of the limit.</w:t>
      </w:r>
    </w:p>
    <w:p w:rsidR="001E7C5C" w:rsidRDefault="001E7C5C" w:rsidP="001A4A77">
      <w:pPr>
        <w:spacing w:line="276" w:lineRule="auto"/>
        <w:ind w:right="-96"/>
        <w:jc w:val="both"/>
        <w:rPr>
          <w:rFonts w:ascii="Arial" w:hAnsi="Arial" w:cs="Arial"/>
          <w:sz w:val="22"/>
          <w:szCs w:val="22"/>
        </w:rPr>
      </w:pPr>
    </w:p>
    <w:p w:rsidR="001A4A77" w:rsidRDefault="00001454" w:rsidP="001A4A77">
      <w:pPr>
        <w:spacing w:line="276" w:lineRule="auto"/>
        <w:ind w:right="-96"/>
        <w:jc w:val="both"/>
        <w:rPr>
          <w:rFonts w:ascii="Arial" w:hAnsi="Arial" w:cs="Arial"/>
          <w:sz w:val="22"/>
          <w:szCs w:val="22"/>
        </w:rPr>
      </w:pPr>
      <w:r>
        <w:rPr>
          <w:rFonts w:ascii="Arial" w:hAnsi="Arial" w:cs="Arial"/>
          <w:sz w:val="22"/>
          <w:szCs w:val="22"/>
        </w:rPr>
        <w:t>More generally, w</w:t>
      </w:r>
      <w:r w:rsidR="005752DD" w:rsidRPr="00501161">
        <w:rPr>
          <w:rFonts w:ascii="Arial" w:hAnsi="Arial" w:cs="Arial"/>
          <w:sz w:val="22"/>
          <w:szCs w:val="22"/>
        </w:rPr>
        <w:t xml:space="preserve">e suggest </w:t>
      </w:r>
      <w:r>
        <w:rPr>
          <w:rFonts w:ascii="Arial" w:hAnsi="Arial" w:cs="Arial"/>
          <w:sz w:val="22"/>
          <w:szCs w:val="22"/>
        </w:rPr>
        <w:t>that how best to disclose special benefit limits</w:t>
      </w:r>
      <w:r w:rsidR="005752DD" w:rsidRPr="00501161">
        <w:rPr>
          <w:rFonts w:ascii="Arial" w:hAnsi="Arial" w:cs="Arial"/>
          <w:sz w:val="22"/>
          <w:szCs w:val="22"/>
        </w:rPr>
        <w:t xml:space="preserve"> could be investigated during product testing</w:t>
      </w:r>
      <w:r w:rsidR="0043162D" w:rsidRPr="00501161">
        <w:rPr>
          <w:rFonts w:ascii="Arial" w:hAnsi="Arial" w:cs="Arial"/>
          <w:sz w:val="22"/>
          <w:szCs w:val="22"/>
        </w:rPr>
        <w:t xml:space="preserve"> - we would choose the option</w:t>
      </w:r>
      <w:r>
        <w:rPr>
          <w:rFonts w:ascii="Arial" w:hAnsi="Arial" w:cs="Arial"/>
          <w:sz w:val="22"/>
          <w:szCs w:val="22"/>
        </w:rPr>
        <w:t>s</w:t>
      </w:r>
      <w:r w:rsidR="0043162D" w:rsidRPr="00501161">
        <w:rPr>
          <w:rFonts w:ascii="Arial" w:hAnsi="Arial" w:cs="Arial"/>
          <w:sz w:val="22"/>
          <w:szCs w:val="22"/>
        </w:rPr>
        <w:t xml:space="preserve"> that lead to the most consumers understanding and recalling any such limits</w:t>
      </w:r>
      <w:r w:rsidR="005752DD" w:rsidRPr="00501161">
        <w:rPr>
          <w:rFonts w:ascii="Arial" w:hAnsi="Arial" w:cs="Arial"/>
          <w:sz w:val="22"/>
          <w:szCs w:val="22"/>
        </w:rPr>
        <w:t>.</w:t>
      </w:r>
    </w:p>
    <w:p w:rsidR="0088597C" w:rsidRPr="00501161" w:rsidRDefault="0088597C" w:rsidP="00221B9E">
      <w:pPr>
        <w:spacing w:before="240" w:line="276" w:lineRule="auto"/>
        <w:ind w:right="-96"/>
        <w:jc w:val="both"/>
        <w:rPr>
          <w:rFonts w:ascii="Arial" w:hAnsi="Arial" w:cs="Arial"/>
          <w:sz w:val="22"/>
          <w:szCs w:val="22"/>
        </w:rPr>
      </w:pPr>
      <w:r w:rsidRPr="00501161">
        <w:rPr>
          <w:rFonts w:ascii="Arial" w:hAnsi="Arial" w:cs="Arial"/>
          <w:i/>
          <w:sz w:val="22"/>
          <w:szCs w:val="22"/>
        </w:rPr>
        <w:t>Is it feasible, in a single page format, to require all derogations from standard cover to be mentioned in the ‘what is NOT covered’ list?</w:t>
      </w:r>
    </w:p>
    <w:p w:rsidR="00AB6749" w:rsidRDefault="00AB6749" w:rsidP="00AB6749">
      <w:pPr>
        <w:spacing w:line="276" w:lineRule="auto"/>
        <w:ind w:right="-96"/>
        <w:jc w:val="both"/>
        <w:rPr>
          <w:rFonts w:ascii="Arial" w:hAnsi="Arial" w:cs="Arial"/>
          <w:sz w:val="22"/>
          <w:szCs w:val="22"/>
        </w:rPr>
      </w:pPr>
    </w:p>
    <w:p w:rsidR="00343320" w:rsidRDefault="00343320" w:rsidP="00AB6749">
      <w:pPr>
        <w:spacing w:line="276" w:lineRule="auto"/>
        <w:ind w:right="-96"/>
        <w:jc w:val="both"/>
        <w:rPr>
          <w:rFonts w:ascii="Arial" w:hAnsi="Arial" w:cs="Arial"/>
          <w:sz w:val="22"/>
          <w:szCs w:val="22"/>
        </w:rPr>
      </w:pPr>
      <w:r w:rsidRPr="00AB6749">
        <w:rPr>
          <w:rFonts w:ascii="Arial" w:hAnsi="Arial" w:cs="Arial"/>
          <w:sz w:val="22"/>
          <w:szCs w:val="22"/>
        </w:rPr>
        <w:t xml:space="preserve">Any wholesale derogations from standard cover, for example an exclusion for flood damage, an exclusion for damage from actions of the sea or an exclusion for damage caused by the escape of liquid, should be required to be included in the 'what is NOT covered' list.  </w:t>
      </w:r>
    </w:p>
    <w:p w:rsidR="00AB6749" w:rsidRPr="00AB6749" w:rsidRDefault="00AB6749" w:rsidP="00AB6749">
      <w:pPr>
        <w:spacing w:line="276" w:lineRule="auto"/>
        <w:ind w:right="-96"/>
        <w:jc w:val="both"/>
        <w:rPr>
          <w:rFonts w:ascii="Arial" w:hAnsi="Arial" w:cs="Arial"/>
          <w:sz w:val="22"/>
          <w:szCs w:val="22"/>
        </w:rPr>
      </w:pPr>
    </w:p>
    <w:p w:rsidR="00221B9E" w:rsidRDefault="00343320" w:rsidP="00AB6749">
      <w:pPr>
        <w:spacing w:line="276" w:lineRule="auto"/>
        <w:ind w:right="-96"/>
        <w:jc w:val="both"/>
        <w:rPr>
          <w:rFonts w:ascii="Arial" w:hAnsi="Arial" w:cs="Arial"/>
          <w:sz w:val="22"/>
          <w:szCs w:val="22"/>
        </w:rPr>
      </w:pPr>
      <w:r w:rsidRPr="00AB6749">
        <w:rPr>
          <w:rFonts w:ascii="Arial" w:hAnsi="Arial" w:cs="Arial"/>
          <w:sz w:val="22"/>
          <w:szCs w:val="22"/>
        </w:rPr>
        <w:t xml:space="preserve">However, there may also be a number of partial derogations from standard cover events under a policy, for example, damage caused by the slow escape of liquid as opposed to any escaping liquid is a partial derogation.  </w:t>
      </w:r>
      <w:r w:rsidR="002F447C" w:rsidRPr="00AB6749">
        <w:rPr>
          <w:rFonts w:ascii="Arial" w:hAnsi="Arial" w:cs="Arial"/>
          <w:sz w:val="22"/>
          <w:szCs w:val="22"/>
        </w:rPr>
        <w:t>I</w:t>
      </w:r>
      <w:r w:rsidR="005752DD" w:rsidRPr="00AB6749">
        <w:rPr>
          <w:rFonts w:ascii="Arial" w:hAnsi="Arial" w:cs="Arial"/>
          <w:sz w:val="22"/>
          <w:szCs w:val="22"/>
        </w:rPr>
        <w:t>t may not be possible to list all</w:t>
      </w:r>
      <w:r w:rsidRPr="00AB6749">
        <w:rPr>
          <w:rFonts w:ascii="Arial" w:hAnsi="Arial" w:cs="Arial"/>
          <w:sz w:val="22"/>
          <w:szCs w:val="22"/>
        </w:rPr>
        <w:t xml:space="preserve"> partial</w:t>
      </w:r>
      <w:r w:rsidR="005752DD" w:rsidRPr="00AB6749">
        <w:rPr>
          <w:rFonts w:ascii="Arial" w:hAnsi="Arial" w:cs="Arial"/>
          <w:sz w:val="22"/>
          <w:szCs w:val="22"/>
        </w:rPr>
        <w:t xml:space="preserve"> derogations from standard cover on the key facts statement</w:t>
      </w:r>
      <w:r w:rsidRPr="00AB6749">
        <w:rPr>
          <w:rFonts w:ascii="Arial" w:hAnsi="Arial" w:cs="Arial"/>
          <w:sz w:val="22"/>
          <w:szCs w:val="22"/>
        </w:rPr>
        <w:t xml:space="preserve"> if they are too numerous</w:t>
      </w:r>
      <w:r w:rsidR="002F447C" w:rsidRPr="00AB6749">
        <w:rPr>
          <w:rFonts w:ascii="Arial" w:hAnsi="Arial" w:cs="Arial"/>
          <w:sz w:val="22"/>
          <w:szCs w:val="22"/>
        </w:rPr>
        <w:t xml:space="preserve">, and indeed listing </w:t>
      </w:r>
      <w:r w:rsidR="004B4DC1" w:rsidRPr="00AB6749">
        <w:rPr>
          <w:rFonts w:ascii="Arial" w:hAnsi="Arial" w:cs="Arial"/>
          <w:sz w:val="22"/>
          <w:szCs w:val="22"/>
        </w:rPr>
        <w:t>every exclusion in detail could make the key facts statement less accessible and so less useful</w:t>
      </w:r>
      <w:r w:rsidR="005752DD" w:rsidRPr="00AB6749">
        <w:rPr>
          <w:rFonts w:ascii="Arial" w:hAnsi="Arial" w:cs="Arial"/>
          <w:sz w:val="22"/>
          <w:szCs w:val="22"/>
        </w:rPr>
        <w:t xml:space="preserve">.  </w:t>
      </w:r>
      <w:r w:rsidR="004B4DC1" w:rsidRPr="00AB6749">
        <w:rPr>
          <w:rFonts w:ascii="Arial" w:hAnsi="Arial" w:cs="Arial"/>
          <w:sz w:val="22"/>
          <w:szCs w:val="22"/>
        </w:rPr>
        <w:t xml:space="preserve">However, where it is not </w:t>
      </w:r>
      <w:r w:rsidR="00044D77" w:rsidRPr="00AB6749">
        <w:rPr>
          <w:rFonts w:ascii="Arial" w:hAnsi="Arial" w:cs="Arial"/>
          <w:sz w:val="22"/>
          <w:szCs w:val="22"/>
        </w:rPr>
        <w:t>practical</w:t>
      </w:r>
      <w:r w:rsidR="004B4DC1" w:rsidRPr="00AB6749">
        <w:rPr>
          <w:rFonts w:ascii="Arial" w:hAnsi="Arial" w:cs="Arial"/>
          <w:sz w:val="22"/>
          <w:szCs w:val="22"/>
        </w:rPr>
        <w:t xml:space="preserve"> to list all derogations, those listed should be the most significant derogations</w:t>
      </w:r>
      <w:r w:rsidR="00221B9E" w:rsidRPr="00AB6749">
        <w:rPr>
          <w:rFonts w:ascii="Arial" w:hAnsi="Arial" w:cs="Arial"/>
          <w:sz w:val="22"/>
          <w:szCs w:val="22"/>
        </w:rPr>
        <w:t xml:space="preserve"> (for example, exclusions of more common scenarios, or exclusions which, as the discussion paper suggests, cause most confusion</w:t>
      </w:r>
      <w:r w:rsidR="00E03CA8" w:rsidRPr="00AB6749">
        <w:rPr>
          <w:rFonts w:ascii="Arial" w:hAnsi="Arial" w:cs="Arial"/>
          <w:sz w:val="22"/>
          <w:szCs w:val="22"/>
        </w:rPr>
        <w:t xml:space="preserve"> for that type of policy</w:t>
      </w:r>
      <w:r w:rsidR="00AB6749" w:rsidRPr="00AB6749">
        <w:rPr>
          <w:rFonts w:ascii="Arial" w:hAnsi="Arial" w:cs="Arial"/>
          <w:sz w:val="22"/>
          <w:szCs w:val="22"/>
        </w:rPr>
        <w:t xml:space="preserve"> -</w:t>
      </w:r>
      <w:r w:rsidR="00E03CA8" w:rsidRPr="00AB6749">
        <w:rPr>
          <w:rFonts w:ascii="Arial" w:hAnsi="Arial" w:cs="Arial"/>
          <w:sz w:val="22"/>
          <w:szCs w:val="22"/>
        </w:rPr>
        <w:t xml:space="preserve"> </w:t>
      </w:r>
      <w:r w:rsidR="00AB6749" w:rsidRPr="00AB6749">
        <w:rPr>
          <w:rFonts w:ascii="Arial" w:hAnsi="Arial" w:cs="Arial"/>
          <w:sz w:val="22"/>
          <w:szCs w:val="22"/>
        </w:rPr>
        <w:t xml:space="preserve">this should be determined by </w:t>
      </w:r>
      <w:r w:rsidR="00E03CA8" w:rsidRPr="00AB6749">
        <w:rPr>
          <w:rFonts w:ascii="Arial" w:hAnsi="Arial" w:cs="Arial"/>
          <w:sz w:val="22"/>
          <w:szCs w:val="22"/>
        </w:rPr>
        <w:t>look</w:t>
      </w:r>
      <w:r w:rsidR="00AB6749" w:rsidRPr="00AB6749">
        <w:rPr>
          <w:rFonts w:ascii="Arial" w:hAnsi="Arial" w:cs="Arial"/>
          <w:sz w:val="22"/>
          <w:szCs w:val="22"/>
        </w:rPr>
        <w:t>ing</w:t>
      </w:r>
      <w:r w:rsidR="00E03CA8" w:rsidRPr="00AB6749">
        <w:rPr>
          <w:rFonts w:ascii="Arial" w:hAnsi="Arial" w:cs="Arial"/>
          <w:sz w:val="22"/>
          <w:szCs w:val="22"/>
        </w:rPr>
        <w:t xml:space="preserve"> to the reasonable expectations of </w:t>
      </w:r>
      <w:r w:rsidR="00AB6749">
        <w:rPr>
          <w:rFonts w:ascii="Arial" w:hAnsi="Arial" w:cs="Arial"/>
          <w:sz w:val="22"/>
          <w:szCs w:val="22"/>
        </w:rPr>
        <w:t>an</w:t>
      </w:r>
      <w:r w:rsidR="00AB6749" w:rsidRPr="00AB6749">
        <w:rPr>
          <w:rFonts w:ascii="Arial" w:hAnsi="Arial" w:cs="Arial"/>
          <w:sz w:val="22"/>
          <w:szCs w:val="22"/>
        </w:rPr>
        <w:t xml:space="preserve"> </w:t>
      </w:r>
      <w:r w:rsidR="00E03CA8" w:rsidRPr="00AB6749">
        <w:rPr>
          <w:rFonts w:ascii="Arial" w:hAnsi="Arial" w:cs="Arial"/>
          <w:sz w:val="22"/>
          <w:szCs w:val="22"/>
        </w:rPr>
        <w:t xml:space="preserve">insured </w:t>
      </w:r>
      <w:r w:rsidR="00AB6749" w:rsidRPr="00AB6749">
        <w:rPr>
          <w:rFonts w:ascii="Arial" w:hAnsi="Arial" w:cs="Arial"/>
          <w:sz w:val="22"/>
          <w:szCs w:val="22"/>
        </w:rPr>
        <w:t>about</w:t>
      </w:r>
      <w:r w:rsidR="00E03CA8" w:rsidRPr="00AB6749">
        <w:rPr>
          <w:rFonts w:ascii="Arial" w:hAnsi="Arial" w:cs="Arial"/>
          <w:sz w:val="22"/>
          <w:szCs w:val="22"/>
        </w:rPr>
        <w:t xml:space="preserve"> that type of cover</w:t>
      </w:r>
      <w:r w:rsidR="00AB6749">
        <w:rPr>
          <w:rFonts w:ascii="Arial" w:hAnsi="Arial" w:cs="Arial"/>
          <w:sz w:val="22"/>
          <w:szCs w:val="22"/>
        </w:rPr>
        <w:t xml:space="preserve"> as a guide</w:t>
      </w:r>
      <w:r w:rsidR="00221B9E" w:rsidRPr="00AB6749">
        <w:rPr>
          <w:rFonts w:ascii="Arial" w:hAnsi="Arial" w:cs="Arial"/>
          <w:sz w:val="22"/>
          <w:szCs w:val="22"/>
        </w:rPr>
        <w:t>).</w:t>
      </w:r>
    </w:p>
    <w:p w:rsidR="00AB6749" w:rsidRPr="00AB6749" w:rsidRDefault="00AB6749" w:rsidP="00AB6749">
      <w:pPr>
        <w:spacing w:line="276" w:lineRule="auto"/>
        <w:ind w:right="-96"/>
        <w:jc w:val="both"/>
        <w:rPr>
          <w:rFonts w:ascii="Arial" w:hAnsi="Arial" w:cs="Arial"/>
          <w:sz w:val="22"/>
          <w:szCs w:val="22"/>
        </w:rPr>
      </w:pPr>
    </w:p>
    <w:p w:rsidR="005752DD" w:rsidRDefault="00221B9E" w:rsidP="00AB6749">
      <w:pPr>
        <w:spacing w:line="276" w:lineRule="auto"/>
        <w:ind w:right="-96"/>
        <w:jc w:val="both"/>
        <w:rPr>
          <w:rFonts w:ascii="Arial" w:hAnsi="Arial" w:cs="Arial"/>
          <w:sz w:val="22"/>
          <w:szCs w:val="22"/>
        </w:rPr>
      </w:pPr>
      <w:r w:rsidRPr="00AB6749">
        <w:rPr>
          <w:rFonts w:ascii="Arial" w:hAnsi="Arial" w:cs="Arial"/>
          <w:sz w:val="22"/>
          <w:szCs w:val="22"/>
        </w:rPr>
        <w:t xml:space="preserve">In addition, </w:t>
      </w:r>
      <w:r w:rsidR="004B4DC1" w:rsidRPr="00AB6749">
        <w:rPr>
          <w:rFonts w:ascii="Arial" w:hAnsi="Arial" w:cs="Arial"/>
          <w:sz w:val="22"/>
          <w:szCs w:val="22"/>
        </w:rPr>
        <w:t>the consumer should be put in a position where they can easily find t</w:t>
      </w:r>
      <w:r w:rsidR="00044D77" w:rsidRPr="00AB6749">
        <w:rPr>
          <w:rFonts w:ascii="Arial" w:hAnsi="Arial" w:cs="Arial"/>
          <w:sz w:val="22"/>
          <w:szCs w:val="22"/>
        </w:rPr>
        <w:t>he other exclusions in their PDS</w:t>
      </w:r>
      <w:r w:rsidR="004B4DC1" w:rsidRPr="00AB6749">
        <w:rPr>
          <w:rFonts w:ascii="Arial" w:hAnsi="Arial" w:cs="Arial"/>
          <w:sz w:val="22"/>
          <w:szCs w:val="22"/>
        </w:rPr>
        <w:t>.  For example</w:t>
      </w:r>
      <w:r w:rsidRPr="00AB6749">
        <w:rPr>
          <w:rFonts w:ascii="Arial" w:hAnsi="Arial" w:cs="Arial"/>
          <w:sz w:val="22"/>
          <w:szCs w:val="22"/>
        </w:rPr>
        <w:t>, after listing all exclusions as is practical for a particular event, text such as the following could be inserted</w:t>
      </w:r>
      <w:r w:rsidR="004B4DC1" w:rsidRPr="00AB6749">
        <w:rPr>
          <w:rFonts w:ascii="Arial" w:hAnsi="Arial" w:cs="Arial"/>
          <w:sz w:val="22"/>
          <w:szCs w:val="22"/>
        </w:rPr>
        <w:t>:</w:t>
      </w:r>
    </w:p>
    <w:p w:rsidR="00AB6749" w:rsidRPr="00AB6749" w:rsidRDefault="00AB6749" w:rsidP="00AB6749">
      <w:pPr>
        <w:spacing w:line="276" w:lineRule="auto"/>
        <w:ind w:right="-96"/>
        <w:jc w:val="both"/>
        <w:rPr>
          <w:rFonts w:ascii="Arial" w:hAnsi="Arial" w:cs="Arial"/>
          <w:sz w:val="22"/>
          <w:szCs w:val="22"/>
        </w:rPr>
      </w:pPr>
    </w:p>
    <w:p w:rsidR="004B4DC1" w:rsidRPr="00501161" w:rsidRDefault="00221B9E" w:rsidP="00AB6749">
      <w:pPr>
        <w:pStyle w:val="BoxText"/>
        <w:tabs>
          <w:tab w:val="left" w:pos="840"/>
        </w:tabs>
        <w:ind w:left="840"/>
        <w:rPr>
          <w:rFonts w:ascii="Arial" w:hAnsi="Arial" w:cs="Arial"/>
          <w:szCs w:val="22"/>
        </w:rPr>
      </w:pPr>
      <w:r w:rsidRPr="00501161">
        <w:rPr>
          <w:rFonts w:ascii="Arial" w:hAnsi="Arial" w:cs="Arial"/>
          <w:szCs w:val="22"/>
        </w:rPr>
        <w:t>Other exclusions such as [example] and [example] also apply.  Please see paragraphs 2.42, 2.77 and 4.15 of your PDS for details.</w:t>
      </w:r>
    </w:p>
    <w:p w:rsidR="0088597C" w:rsidRPr="00501161" w:rsidRDefault="0088597C" w:rsidP="00D51B93">
      <w:pPr>
        <w:pStyle w:val="BoxText"/>
        <w:keepNext/>
        <w:tabs>
          <w:tab w:val="left" w:pos="840"/>
        </w:tabs>
        <w:rPr>
          <w:rFonts w:ascii="Arial" w:hAnsi="Arial" w:cs="Arial"/>
          <w:i/>
          <w:szCs w:val="22"/>
        </w:rPr>
      </w:pPr>
      <w:r w:rsidRPr="00501161">
        <w:rPr>
          <w:rFonts w:ascii="Arial" w:hAnsi="Arial" w:cs="Arial"/>
          <w:i/>
          <w:szCs w:val="22"/>
        </w:rPr>
        <w:lastRenderedPageBreak/>
        <w:t>What other exclusions/conditions should be required to be included on the ‘What is NOT covered’ list?</w:t>
      </w:r>
    </w:p>
    <w:p w:rsidR="00221B9E" w:rsidRDefault="006B1031" w:rsidP="00AB6749">
      <w:pPr>
        <w:spacing w:line="276" w:lineRule="auto"/>
        <w:ind w:right="-96"/>
        <w:jc w:val="both"/>
        <w:rPr>
          <w:rFonts w:ascii="Arial" w:hAnsi="Arial" w:cs="Arial"/>
          <w:sz w:val="22"/>
          <w:szCs w:val="22"/>
        </w:rPr>
      </w:pPr>
      <w:r w:rsidRPr="00AB6749">
        <w:rPr>
          <w:rFonts w:ascii="Arial" w:hAnsi="Arial" w:cs="Arial"/>
          <w:sz w:val="22"/>
          <w:szCs w:val="22"/>
        </w:rPr>
        <w:t>As discussed immediately above, all exclusions (</w:t>
      </w:r>
      <w:r w:rsidR="00221B9E" w:rsidRPr="00AB6749">
        <w:rPr>
          <w:rFonts w:ascii="Arial" w:hAnsi="Arial" w:cs="Arial"/>
          <w:sz w:val="22"/>
          <w:szCs w:val="22"/>
        </w:rPr>
        <w:t>whether derogations from standard cover or not</w:t>
      </w:r>
      <w:r w:rsidRPr="00AB6749">
        <w:rPr>
          <w:rFonts w:ascii="Arial" w:hAnsi="Arial" w:cs="Arial"/>
          <w:sz w:val="22"/>
          <w:szCs w:val="22"/>
        </w:rPr>
        <w:t>)</w:t>
      </w:r>
      <w:r w:rsidR="00221B9E" w:rsidRPr="00AB6749">
        <w:rPr>
          <w:rFonts w:ascii="Arial" w:hAnsi="Arial" w:cs="Arial"/>
          <w:sz w:val="22"/>
          <w:szCs w:val="22"/>
        </w:rPr>
        <w:t xml:space="preserve"> should be listed if at all practical</w:t>
      </w:r>
      <w:r w:rsidR="002B135C" w:rsidRPr="00AB6749">
        <w:rPr>
          <w:rFonts w:ascii="Arial" w:hAnsi="Arial" w:cs="Arial"/>
          <w:sz w:val="22"/>
          <w:szCs w:val="22"/>
        </w:rPr>
        <w:t xml:space="preserve">.  Where </w:t>
      </w:r>
      <w:r w:rsidRPr="00AB6749">
        <w:rPr>
          <w:rFonts w:ascii="Arial" w:hAnsi="Arial" w:cs="Arial"/>
          <w:sz w:val="22"/>
          <w:szCs w:val="22"/>
        </w:rPr>
        <w:t>not practical, consumers should be made aware that other exceptions exist and directed to the relevant paragraphs of the PDS.</w:t>
      </w:r>
    </w:p>
    <w:p w:rsidR="00AB6749" w:rsidRPr="00AB6749" w:rsidRDefault="00AB6749" w:rsidP="00AB6749">
      <w:pPr>
        <w:spacing w:line="276" w:lineRule="auto"/>
        <w:ind w:right="-96"/>
        <w:jc w:val="both"/>
        <w:rPr>
          <w:rFonts w:ascii="Arial" w:hAnsi="Arial" w:cs="Arial"/>
          <w:sz w:val="22"/>
          <w:szCs w:val="22"/>
        </w:rPr>
      </w:pPr>
    </w:p>
    <w:p w:rsidR="0088597C" w:rsidRPr="00501161" w:rsidRDefault="0088597C" w:rsidP="006B1031">
      <w:pPr>
        <w:pStyle w:val="BoxText"/>
        <w:rPr>
          <w:rFonts w:ascii="Arial" w:hAnsi="Arial" w:cs="Arial"/>
          <w:i/>
          <w:szCs w:val="22"/>
        </w:rPr>
      </w:pPr>
      <w:r w:rsidRPr="00501161">
        <w:rPr>
          <w:rFonts w:ascii="Arial" w:hAnsi="Arial" w:cs="Arial"/>
          <w:i/>
          <w:szCs w:val="22"/>
        </w:rPr>
        <w:t xml:space="preserve">Is it feasible to summarise the key elements of home buildings and home contents policies in </w:t>
      </w:r>
      <w:r w:rsidR="006B1031" w:rsidRPr="00501161">
        <w:rPr>
          <w:rFonts w:ascii="Arial" w:hAnsi="Arial" w:cs="Arial"/>
          <w:i/>
          <w:szCs w:val="22"/>
        </w:rPr>
        <w:t>[the format proposed at paragraph 69]</w:t>
      </w:r>
      <w:r w:rsidRPr="00501161">
        <w:rPr>
          <w:rFonts w:ascii="Arial" w:hAnsi="Arial" w:cs="Arial"/>
          <w:i/>
          <w:szCs w:val="22"/>
        </w:rPr>
        <w:t>?</w:t>
      </w:r>
    </w:p>
    <w:p w:rsidR="006B1031" w:rsidRPr="00501161" w:rsidRDefault="006B1031" w:rsidP="006B1031">
      <w:pPr>
        <w:pStyle w:val="BoxText"/>
        <w:rPr>
          <w:rFonts w:ascii="Arial" w:hAnsi="Arial" w:cs="Arial"/>
          <w:szCs w:val="22"/>
        </w:rPr>
      </w:pPr>
      <w:r w:rsidRPr="00501161">
        <w:rPr>
          <w:rFonts w:ascii="Arial" w:hAnsi="Arial" w:cs="Arial"/>
          <w:szCs w:val="22"/>
        </w:rPr>
        <w:t>And</w:t>
      </w:r>
    </w:p>
    <w:p w:rsidR="0088597C" w:rsidRPr="00501161" w:rsidRDefault="0088597C" w:rsidP="006B1031">
      <w:pPr>
        <w:pStyle w:val="BoxText"/>
        <w:rPr>
          <w:rFonts w:ascii="Arial" w:hAnsi="Arial" w:cs="Arial"/>
          <w:szCs w:val="22"/>
        </w:rPr>
      </w:pPr>
      <w:r w:rsidRPr="00501161">
        <w:rPr>
          <w:rFonts w:ascii="Arial" w:hAnsi="Arial" w:cs="Arial"/>
          <w:i/>
          <w:szCs w:val="22"/>
        </w:rPr>
        <w:t xml:space="preserve">Would a list of prescribed events/risks in </w:t>
      </w:r>
      <w:r w:rsidR="006B1031" w:rsidRPr="00501161">
        <w:rPr>
          <w:rFonts w:ascii="Arial" w:hAnsi="Arial" w:cs="Arial"/>
          <w:i/>
          <w:szCs w:val="22"/>
        </w:rPr>
        <w:t>[the format proposed at paragraph 69]</w:t>
      </w:r>
      <w:r w:rsidRPr="00501161">
        <w:rPr>
          <w:rFonts w:ascii="Arial" w:hAnsi="Arial" w:cs="Arial"/>
          <w:i/>
          <w:szCs w:val="22"/>
        </w:rPr>
        <w:t xml:space="preserve"> provide advantages, for comparison of policies or otherwise, compared to the ‘what is covered’ and ‘what is NOT covered’ lists set out in the draft sample key facts statement?</w:t>
      </w:r>
    </w:p>
    <w:p w:rsidR="00A334E0" w:rsidRPr="00501161" w:rsidRDefault="00D8482A" w:rsidP="00443F58">
      <w:pPr>
        <w:spacing w:line="276" w:lineRule="auto"/>
        <w:ind w:right="-96"/>
        <w:jc w:val="both"/>
        <w:rPr>
          <w:rFonts w:ascii="Arial" w:hAnsi="Arial" w:cs="Arial"/>
          <w:sz w:val="22"/>
          <w:szCs w:val="22"/>
        </w:rPr>
      </w:pPr>
      <w:r w:rsidRPr="00501161">
        <w:rPr>
          <w:rFonts w:ascii="Arial" w:hAnsi="Arial" w:cs="Arial"/>
          <w:sz w:val="22"/>
          <w:szCs w:val="22"/>
        </w:rPr>
        <w:t>With some modifications, this format could provide some advantages over the format at page 11 of the discussion paper.</w:t>
      </w:r>
    </w:p>
    <w:p w:rsidR="00A334E0" w:rsidRPr="00501161" w:rsidRDefault="00A334E0" w:rsidP="00443F58">
      <w:pPr>
        <w:spacing w:line="276" w:lineRule="auto"/>
        <w:ind w:right="-96"/>
        <w:jc w:val="both"/>
        <w:rPr>
          <w:rFonts w:ascii="Arial" w:hAnsi="Arial" w:cs="Arial"/>
          <w:sz w:val="22"/>
          <w:szCs w:val="22"/>
        </w:rPr>
      </w:pPr>
    </w:p>
    <w:p w:rsidR="003B3E3D" w:rsidRPr="00501161" w:rsidRDefault="00D849F9" w:rsidP="00443F58">
      <w:pPr>
        <w:spacing w:line="276" w:lineRule="auto"/>
        <w:ind w:right="-96"/>
        <w:jc w:val="both"/>
        <w:rPr>
          <w:rFonts w:ascii="Arial" w:hAnsi="Arial" w:cs="Arial"/>
          <w:sz w:val="22"/>
          <w:szCs w:val="22"/>
        </w:rPr>
      </w:pPr>
      <w:r w:rsidRPr="00501161">
        <w:rPr>
          <w:rFonts w:ascii="Arial" w:hAnsi="Arial" w:cs="Arial"/>
          <w:sz w:val="22"/>
          <w:szCs w:val="22"/>
        </w:rPr>
        <w:t>T</w:t>
      </w:r>
      <w:r w:rsidR="006B1031" w:rsidRPr="00501161">
        <w:rPr>
          <w:rFonts w:ascii="Arial" w:hAnsi="Arial" w:cs="Arial"/>
          <w:sz w:val="22"/>
          <w:szCs w:val="22"/>
        </w:rPr>
        <w:t xml:space="preserve">he format </w:t>
      </w:r>
      <w:r w:rsidR="00D8482A" w:rsidRPr="00501161">
        <w:rPr>
          <w:rFonts w:ascii="Arial" w:hAnsi="Arial" w:cs="Arial"/>
          <w:sz w:val="22"/>
          <w:szCs w:val="22"/>
        </w:rPr>
        <w:t xml:space="preserve">currently </w:t>
      </w:r>
      <w:r w:rsidR="006B1031" w:rsidRPr="00501161">
        <w:rPr>
          <w:rFonts w:ascii="Arial" w:hAnsi="Arial" w:cs="Arial"/>
          <w:sz w:val="22"/>
          <w:szCs w:val="22"/>
        </w:rPr>
        <w:t xml:space="preserve">proposed at paragraph 69 </w:t>
      </w:r>
      <w:r w:rsidR="00820B3D" w:rsidRPr="00501161">
        <w:rPr>
          <w:rFonts w:ascii="Arial" w:hAnsi="Arial" w:cs="Arial"/>
          <w:sz w:val="22"/>
          <w:szCs w:val="22"/>
        </w:rPr>
        <w:t xml:space="preserve">is </w:t>
      </w:r>
      <w:r w:rsidRPr="00501161">
        <w:rPr>
          <w:rFonts w:ascii="Arial" w:hAnsi="Arial" w:cs="Arial"/>
          <w:sz w:val="22"/>
          <w:szCs w:val="22"/>
        </w:rPr>
        <w:t xml:space="preserve">not </w:t>
      </w:r>
      <w:r w:rsidR="00820B3D" w:rsidRPr="00501161">
        <w:rPr>
          <w:rFonts w:ascii="Arial" w:hAnsi="Arial" w:cs="Arial"/>
          <w:sz w:val="22"/>
          <w:szCs w:val="22"/>
        </w:rPr>
        <w:t>suitable</w:t>
      </w:r>
      <w:r w:rsidR="003B3E3D" w:rsidRPr="00501161">
        <w:rPr>
          <w:rFonts w:ascii="Arial" w:hAnsi="Arial" w:cs="Arial"/>
          <w:sz w:val="22"/>
          <w:szCs w:val="22"/>
        </w:rPr>
        <w:t>, mostly because the meaning</w:t>
      </w:r>
      <w:r w:rsidR="002B135C" w:rsidRPr="00501161">
        <w:rPr>
          <w:rFonts w:ascii="Arial" w:hAnsi="Arial" w:cs="Arial"/>
          <w:sz w:val="22"/>
          <w:szCs w:val="22"/>
        </w:rPr>
        <w:t>s</w:t>
      </w:r>
      <w:r w:rsidR="003B3E3D" w:rsidRPr="00501161">
        <w:rPr>
          <w:rFonts w:ascii="Arial" w:hAnsi="Arial" w:cs="Arial"/>
          <w:sz w:val="22"/>
          <w:szCs w:val="22"/>
        </w:rPr>
        <w:t xml:space="preserve"> of the tick symbol and the word 'partial' </w:t>
      </w:r>
      <w:r w:rsidR="002B135C" w:rsidRPr="00501161">
        <w:rPr>
          <w:rFonts w:ascii="Arial" w:hAnsi="Arial" w:cs="Arial"/>
          <w:sz w:val="22"/>
          <w:szCs w:val="22"/>
        </w:rPr>
        <w:t>are overlapping and</w:t>
      </w:r>
      <w:r w:rsidR="003B3E3D" w:rsidRPr="00501161">
        <w:rPr>
          <w:rFonts w:ascii="Arial" w:hAnsi="Arial" w:cs="Arial"/>
          <w:sz w:val="22"/>
          <w:szCs w:val="22"/>
        </w:rPr>
        <w:t xml:space="preserve"> unclear</w:t>
      </w:r>
      <w:r w:rsidRPr="00501161">
        <w:rPr>
          <w:rFonts w:ascii="Arial" w:hAnsi="Arial" w:cs="Arial"/>
          <w:sz w:val="22"/>
          <w:szCs w:val="22"/>
        </w:rPr>
        <w:t>.</w:t>
      </w:r>
      <w:r w:rsidR="002B135C" w:rsidRPr="00501161">
        <w:rPr>
          <w:rFonts w:ascii="Arial" w:hAnsi="Arial" w:cs="Arial"/>
          <w:sz w:val="22"/>
          <w:szCs w:val="22"/>
        </w:rPr>
        <w:t xml:space="preserve">  </w:t>
      </w:r>
      <w:r w:rsidR="003B3E3D" w:rsidRPr="00501161">
        <w:rPr>
          <w:rFonts w:ascii="Arial" w:hAnsi="Arial" w:cs="Arial"/>
          <w:sz w:val="22"/>
          <w:szCs w:val="22"/>
        </w:rPr>
        <w:t>For example, on the example at paragraph 69</w:t>
      </w:r>
      <w:r w:rsidR="002B135C" w:rsidRPr="00501161">
        <w:rPr>
          <w:rFonts w:ascii="Arial" w:hAnsi="Arial" w:cs="Arial"/>
          <w:sz w:val="22"/>
          <w:szCs w:val="22"/>
        </w:rPr>
        <w:t>,</w:t>
      </w:r>
      <w:r w:rsidR="003B3E3D" w:rsidRPr="00501161">
        <w:rPr>
          <w:rFonts w:ascii="Arial" w:hAnsi="Arial" w:cs="Arial"/>
          <w:sz w:val="22"/>
          <w:szCs w:val="22"/>
        </w:rPr>
        <w:t xml:space="preserve"> the tick symbol is both used to signify that an event is covered with no exclusions (storm and flood) and also that an event is covered, but with some exclusions (fire, theft, sudden escape of liquid).  The example </w:t>
      </w:r>
      <w:r w:rsidR="002B135C" w:rsidRPr="00501161">
        <w:rPr>
          <w:rFonts w:ascii="Arial" w:hAnsi="Arial" w:cs="Arial"/>
          <w:sz w:val="22"/>
          <w:szCs w:val="22"/>
        </w:rPr>
        <w:t>then</w:t>
      </w:r>
      <w:r w:rsidR="003B3E3D" w:rsidRPr="00501161">
        <w:rPr>
          <w:rFonts w:ascii="Arial" w:hAnsi="Arial" w:cs="Arial"/>
          <w:sz w:val="22"/>
          <w:szCs w:val="22"/>
        </w:rPr>
        <w:t xml:space="preserve"> </w:t>
      </w:r>
      <w:r w:rsidR="000140C6" w:rsidRPr="00501161">
        <w:rPr>
          <w:rFonts w:ascii="Arial" w:hAnsi="Arial" w:cs="Arial"/>
          <w:sz w:val="22"/>
          <w:szCs w:val="22"/>
        </w:rPr>
        <w:t>uses the word 'partial' to signify that an item is covered up to a certain amount.  In effect</w:t>
      </w:r>
      <w:r w:rsidR="002B135C" w:rsidRPr="00501161">
        <w:rPr>
          <w:rFonts w:ascii="Arial" w:hAnsi="Arial" w:cs="Arial"/>
          <w:sz w:val="22"/>
          <w:szCs w:val="22"/>
        </w:rPr>
        <w:t xml:space="preserve"> then</w:t>
      </w:r>
      <w:r w:rsidR="000140C6" w:rsidRPr="00501161">
        <w:rPr>
          <w:rFonts w:ascii="Arial" w:hAnsi="Arial" w:cs="Arial"/>
          <w:sz w:val="22"/>
          <w:szCs w:val="22"/>
        </w:rPr>
        <w:t xml:space="preserve">, the tick symbol can </w:t>
      </w:r>
      <w:r w:rsidR="003B3E3D" w:rsidRPr="00501161">
        <w:rPr>
          <w:rFonts w:ascii="Arial" w:hAnsi="Arial" w:cs="Arial"/>
          <w:sz w:val="22"/>
          <w:szCs w:val="22"/>
        </w:rPr>
        <w:t xml:space="preserve">actually mean </w:t>
      </w:r>
      <w:r w:rsidR="002B135C" w:rsidRPr="00501161">
        <w:rPr>
          <w:rFonts w:ascii="Arial" w:hAnsi="Arial" w:cs="Arial"/>
          <w:sz w:val="22"/>
          <w:szCs w:val="22"/>
        </w:rPr>
        <w:t>'</w:t>
      </w:r>
      <w:r w:rsidR="003B3E3D" w:rsidRPr="00501161">
        <w:rPr>
          <w:rFonts w:ascii="Arial" w:hAnsi="Arial" w:cs="Arial"/>
          <w:sz w:val="22"/>
          <w:szCs w:val="22"/>
        </w:rPr>
        <w:t>partial</w:t>
      </w:r>
      <w:r w:rsidR="002B135C" w:rsidRPr="00501161">
        <w:rPr>
          <w:rFonts w:ascii="Arial" w:hAnsi="Arial" w:cs="Arial"/>
          <w:sz w:val="22"/>
          <w:szCs w:val="22"/>
        </w:rPr>
        <w:t>'</w:t>
      </w:r>
      <w:r w:rsidR="000140C6" w:rsidRPr="00501161">
        <w:rPr>
          <w:rFonts w:ascii="Arial" w:hAnsi="Arial" w:cs="Arial"/>
          <w:sz w:val="22"/>
          <w:szCs w:val="22"/>
        </w:rPr>
        <w:t xml:space="preserve"> (because coverage for the risk is partially excluded)</w:t>
      </w:r>
      <w:r w:rsidR="003B3E3D" w:rsidRPr="00501161">
        <w:rPr>
          <w:rFonts w:ascii="Arial" w:hAnsi="Arial" w:cs="Arial"/>
          <w:sz w:val="22"/>
          <w:szCs w:val="22"/>
        </w:rPr>
        <w:t>, and 'p</w:t>
      </w:r>
      <w:r w:rsidR="000140C6" w:rsidRPr="00501161">
        <w:rPr>
          <w:rFonts w:ascii="Arial" w:hAnsi="Arial" w:cs="Arial"/>
          <w:sz w:val="22"/>
          <w:szCs w:val="22"/>
        </w:rPr>
        <w:t xml:space="preserve">artial' actually means 'up to </w:t>
      </w:r>
      <w:r w:rsidR="00F30672">
        <w:rPr>
          <w:rFonts w:ascii="Arial" w:hAnsi="Arial" w:cs="Arial"/>
          <w:sz w:val="22"/>
          <w:szCs w:val="22"/>
        </w:rPr>
        <w:t>a certain amount</w:t>
      </w:r>
      <w:r w:rsidR="003B3E3D" w:rsidRPr="00501161">
        <w:rPr>
          <w:rFonts w:ascii="Arial" w:hAnsi="Arial" w:cs="Arial"/>
          <w:sz w:val="22"/>
          <w:szCs w:val="22"/>
        </w:rPr>
        <w:t>'</w:t>
      </w:r>
      <w:r w:rsidR="000140C6" w:rsidRPr="00501161">
        <w:rPr>
          <w:rFonts w:ascii="Arial" w:hAnsi="Arial" w:cs="Arial"/>
          <w:sz w:val="22"/>
          <w:szCs w:val="22"/>
        </w:rPr>
        <w:t>.  It is also unclear whether a tick or the word 'partial' would be used to signify an event that is covered up to a certain amount, with some exclusions.</w:t>
      </w:r>
    </w:p>
    <w:p w:rsidR="006B1031" w:rsidRPr="00501161" w:rsidRDefault="006B1031" w:rsidP="00443F58">
      <w:pPr>
        <w:spacing w:line="276" w:lineRule="auto"/>
        <w:ind w:right="-96"/>
        <w:jc w:val="both"/>
        <w:rPr>
          <w:rFonts w:ascii="Arial" w:hAnsi="Arial" w:cs="Arial"/>
          <w:sz w:val="22"/>
          <w:szCs w:val="22"/>
        </w:rPr>
      </w:pPr>
    </w:p>
    <w:p w:rsidR="00F30672" w:rsidRDefault="00F30672" w:rsidP="00813A14">
      <w:pPr>
        <w:spacing w:line="276" w:lineRule="auto"/>
        <w:ind w:right="-96"/>
        <w:jc w:val="both"/>
        <w:rPr>
          <w:rFonts w:ascii="Arial" w:hAnsi="Arial" w:cs="Arial"/>
          <w:sz w:val="22"/>
          <w:szCs w:val="22"/>
        </w:rPr>
      </w:pPr>
      <w:r>
        <w:rPr>
          <w:rFonts w:ascii="Arial" w:hAnsi="Arial" w:cs="Arial"/>
          <w:sz w:val="22"/>
          <w:szCs w:val="22"/>
        </w:rPr>
        <w:t>W</w:t>
      </w:r>
      <w:r w:rsidR="00784579" w:rsidRPr="00501161">
        <w:rPr>
          <w:rFonts w:ascii="Arial" w:hAnsi="Arial" w:cs="Arial"/>
          <w:sz w:val="22"/>
          <w:szCs w:val="22"/>
        </w:rPr>
        <w:t xml:space="preserve">e suggest </w:t>
      </w:r>
      <w:r w:rsidR="00A334E0" w:rsidRPr="00501161">
        <w:rPr>
          <w:rFonts w:ascii="Arial" w:hAnsi="Arial" w:cs="Arial"/>
          <w:sz w:val="22"/>
          <w:szCs w:val="22"/>
        </w:rPr>
        <w:t xml:space="preserve">a modified version of </w:t>
      </w:r>
      <w:r w:rsidR="00784579" w:rsidRPr="00501161">
        <w:rPr>
          <w:rFonts w:ascii="Arial" w:hAnsi="Arial" w:cs="Arial"/>
          <w:sz w:val="22"/>
          <w:szCs w:val="22"/>
        </w:rPr>
        <w:t>the format below</w:t>
      </w:r>
      <w:r>
        <w:rPr>
          <w:rFonts w:ascii="Arial" w:hAnsi="Arial" w:cs="Arial"/>
          <w:sz w:val="22"/>
          <w:szCs w:val="22"/>
        </w:rPr>
        <w:t xml:space="preserve"> is a better option than either of the proposals in the discussion paper</w:t>
      </w:r>
      <w:r w:rsidR="00784579" w:rsidRPr="00501161">
        <w:rPr>
          <w:rFonts w:ascii="Arial" w:hAnsi="Arial" w:cs="Arial"/>
          <w:sz w:val="22"/>
          <w:szCs w:val="22"/>
        </w:rPr>
        <w:t>:</w:t>
      </w:r>
    </w:p>
    <w:p w:rsidR="00813A14" w:rsidRDefault="00813A14" w:rsidP="00813A14">
      <w:pPr>
        <w:spacing w:line="276" w:lineRule="auto"/>
        <w:ind w:right="-96"/>
        <w:jc w:val="both"/>
        <w:rPr>
          <w:rFonts w:ascii="Arial" w:hAnsi="Arial" w:cs="Arial"/>
          <w:sz w:val="22"/>
          <w:szCs w:val="22"/>
        </w:rPr>
      </w:pPr>
    </w:p>
    <w:tbl>
      <w:tblPr>
        <w:tblStyle w:val="TableGrid"/>
        <w:tblW w:w="0" w:type="auto"/>
        <w:tblLook w:val="04A0"/>
      </w:tblPr>
      <w:tblGrid>
        <w:gridCol w:w="3323"/>
        <w:gridCol w:w="1099"/>
        <w:gridCol w:w="5150"/>
      </w:tblGrid>
      <w:tr w:rsidR="000140C6" w:rsidRPr="00501161" w:rsidTr="00F30672">
        <w:tc>
          <w:tcPr>
            <w:tcW w:w="3323" w:type="dxa"/>
          </w:tcPr>
          <w:p w:rsidR="000140C6" w:rsidRPr="00501161" w:rsidRDefault="000140C6" w:rsidP="009B16B1">
            <w:pPr>
              <w:keepLines/>
              <w:spacing w:line="276" w:lineRule="auto"/>
              <w:ind w:right="-96"/>
              <w:jc w:val="center"/>
              <w:rPr>
                <w:rFonts w:ascii="Arial" w:hAnsi="Arial" w:cs="Arial"/>
                <w:b/>
                <w:sz w:val="22"/>
                <w:szCs w:val="22"/>
              </w:rPr>
            </w:pPr>
            <w:r w:rsidRPr="00501161">
              <w:rPr>
                <w:rFonts w:ascii="Arial" w:hAnsi="Arial" w:cs="Arial"/>
                <w:b/>
                <w:sz w:val="22"/>
                <w:szCs w:val="22"/>
              </w:rPr>
              <w:t>Event/Risk</w:t>
            </w:r>
          </w:p>
        </w:tc>
        <w:tc>
          <w:tcPr>
            <w:tcW w:w="1099" w:type="dxa"/>
          </w:tcPr>
          <w:p w:rsidR="000140C6" w:rsidRPr="00501161" w:rsidRDefault="000140C6" w:rsidP="009B16B1">
            <w:pPr>
              <w:keepLines/>
              <w:spacing w:line="276" w:lineRule="auto"/>
              <w:ind w:right="-96"/>
              <w:jc w:val="center"/>
              <w:rPr>
                <w:rFonts w:ascii="Arial" w:hAnsi="Arial" w:cs="Arial"/>
                <w:b/>
                <w:sz w:val="22"/>
                <w:szCs w:val="22"/>
              </w:rPr>
            </w:pPr>
            <w:r w:rsidRPr="00501161">
              <w:rPr>
                <w:rFonts w:ascii="Arial" w:hAnsi="Arial" w:cs="Arial"/>
                <w:b/>
                <w:sz w:val="22"/>
                <w:szCs w:val="22"/>
              </w:rPr>
              <w:t>Is it covered?</w:t>
            </w:r>
          </w:p>
        </w:tc>
        <w:tc>
          <w:tcPr>
            <w:tcW w:w="5150" w:type="dxa"/>
          </w:tcPr>
          <w:p w:rsidR="000140C6" w:rsidRPr="00501161" w:rsidRDefault="00F30672" w:rsidP="009B16B1">
            <w:pPr>
              <w:keepLines/>
              <w:spacing w:line="276" w:lineRule="auto"/>
              <w:ind w:right="-96"/>
              <w:jc w:val="center"/>
              <w:rPr>
                <w:rFonts w:ascii="Arial" w:hAnsi="Arial" w:cs="Arial"/>
                <w:b/>
                <w:sz w:val="22"/>
                <w:szCs w:val="22"/>
              </w:rPr>
            </w:pPr>
            <w:r>
              <w:rPr>
                <w:rFonts w:ascii="Arial" w:hAnsi="Arial" w:cs="Arial"/>
                <w:b/>
                <w:sz w:val="22"/>
                <w:szCs w:val="22"/>
              </w:rPr>
              <w:t xml:space="preserve">Main Limitations / </w:t>
            </w:r>
            <w:r w:rsidR="000140C6" w:rsidRPr="00501161">
              <w:rPr>
                <w:rFonts w:ascii="Arial" w:hAnsi="Arial" w:cs="Arial"/>
                <w:b/>
                <w:sz w:val="22"/>
                <w:szCs w:val="22"/>
              </w:rPr>
              <w:t>Exclusions</w:t>
            </w: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Fire or explosion</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w:t>
            </w:r>
          </w:p>
        </w:tc>
        <w:tc>
          <w:tcPr>
            <w:tcW w:w="5150" w:type="dxa"/>
          </w:tcPr>
          <w:p w:rsidR="000140C6" w:rsidRPr="00501161" w:rsidRDefault="000140C6" w:rsidP="009B16B1">
            <w:pPr>
              <w:keepLines/>
              <w:spacing w:line="276" w:lineRule="auto"/>
              <w:ind w:right="-96"/>
              <w:rPr>
                <w:rFonts w:ascii="Arial" w:hAnsi="Arial" w:cs="Arial"/>
                <w:sz w:val="22"/>
                <w:szCs w:val="22"/>
              </w:rPr>
            </w:pPr>
            <w:r w:rsidRPr="00501161">
              <w:rPr>
                <w:rFonts w:ascii="Arial" w:hAnsi="Arial" w:cs="Arial"/>
                <w:sz w:val="22"/>
                <w:szCs w:val="22"/>
              </w:rPr>
              <w:t>Damage from ash or soot if there is no fire in your home is excluded</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Stormwater/rainfall runoff</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w:t>
            </w:r>
          </w:p>
        </w:tc>
        <w:tc>
          <w:tcPr>
            <w:tcW w:w="5150" w:type="dxa"/>
          </w:tcPr>
          <w:p w:rsidR="000140C6" w:rsidRPr="00501161" w:rsidRDefault="00784579" w:rsidP="009B16B1">
            <w:pPr>
              <w:keepLines/>
              <w:spacing w:line="276" w:lineRule="auto"/>
              <w:ind w:right="-96"/>
              <w:rPr>
                <w:rFonts w:ascii="Arial" w:hAnsi="Arial" w:cs="Arial"/>
                <w:sz w:val="22"/>
                <w:szCs w:val="22"/>
              </w:rPr>
            </w:pPr>
            <w:r w:rsidRPr="00501161">
              <w:rPr>
                <w:rFonts w:ascii="Arial" w:hAnsi="Arial" w:cs="Arial"/>
                <w:sz w:val="22"/>
                <w:szCs w:val="22"/>
              </w:rPr>
              <w:t>None</w:t>
            </w: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 xml:space="preserve">Flood </w:t>
            </w:r>
            <w:r w:rsidR="00D849F9" w:rsidRPr="00501161">
              <w:rPr>
                <w:rFonts w:ascii="Arial" w:hAnsi="Arial" w:cs="Arial"/>
                <w:sz w:val="22"/>
                <w:szCs w:val="22"/>
              </w:rPr>
              <w:t xml:space="preserve">(see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w:t>
            </w:r>
          </w:p>
        </w:tc>
        <w:tc>
          <w:tcPr>
            <w:tcW w:w="5150" w:type="dxa"/>
          </w:tcPr>
          <w:p w:rsidR="00784579" w:rsidRPr="00501161" w:rsidRDefault="00784579" w:rsidP="009B16B1">
            <w:pPr>
              <w:keepLines/>
              <w:spacing w:line="276" w:lineRule="auto"/>
              <w:ind w:right="-96"/>
              <w:rPr>
                <w:rFonts w:ascii="Arial" w:hAnsi="Arial" w:cs="Arial"/>
                <w:sz w:val="22"/>
                <w:szCs w:val="22"/>
              </w:rPr>
            </w:pPr>
            <w:r w:rsidRPr="00501161">
              <w:rPr>
                <w:rFonts w:ascii="Arial" w:hAnsi="Arial" w:cs="Arial"/>
                <w:sz w:val="22"/>
                <w:szCs w:val="22"/>
              </w:rPr>
              <w:t>None</w:t>
            </w: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Tsunami/action of the sea</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784579" w:rsidP="009B16B1">
            <w:pPr>
              <w:keepLines/>
              <w:spacing w:line="276" w:lineRule="auto"/>
              <w:ind w:right="-96"/>
              <w:jc w:val="center"/>
              <w:rPr>
                <w:rFonts w:ascii="Arial" w:hAnsi="Arial" w:cs="Arial"/>
                <w:sz w:val="22"/>
                <w:szCs w:val="22"/>
              </w:rPr>
            </w:pPr>
            <w:r w:rsidRPr="00501161">
              <w:rPr>
                <w:rFonts w:ascii="Arial" w:hAnsi="Arial" w:cs="Arial"/>
                <w:sz w:val="22"/>
                <w:szCs w:val="22"/>
              </w:rPr>
              <w:t>x</w:t>
            </w:r>
          </w:p>
        </w:tc>
        <w:tc>
          <w:tcPr>
            <w:tcW w:w="5150" w:type="dxa"/>
          </w:tcPr>
          <w:p w:rsidR="000140C6" w:rsidRPr="00501161" w:rsidRDefault="000140C6" w:rsidP="009B16B1">
            <w:pPr>
              <w:keepLines/>
              <w:spacing w:line="276" w:lineRule="auto"/>
              <w:ind w:right="-96"/>
              <w:rPr>
                <w:rFonts w:ascii="Arial" w:hAnsi="Arial" w:cs="Arial"/>
                <w:sz w:val="22"/>
                <w:szCs w:val="22"/>
              </w:rPr>
            </w:pP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 xml:space="preserve">Theft </w:t>
            </w:r>
            <w:r w:rsidR="00D849F9" w:rsidRPr="00501161">
              <w:rPr>
                <w:rFonts w:ascii="Arial" w:hAnsi="Arial" w:cs="Arial"/>
                <w:sz w:val="22"/>
                <w:szCs w:val="22"/>
              </w:rPr>
              <w:t xml:space="preserve">(see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w:t>
            </w:r>
          </w:p>
        </w:tc>
        <w:tc>
          <w:tcPr>
            <w:tcW w:w="5150" w:type="dxa"/>
          </w:tcPr>
          <w:p w:rsidR="000140C6" w:rsidRPr="00501161" w:rsidRDefault="00784579" w:rsidP="009B16B1">
            <w:pPr>
              <w:keepLines/>
              <w:spacing w:line="276" w:lineRule="auto"/>
              <w:ind w:right="-96"/>
              <w:rPr>
                <w:rFonts w:ascii="Arial" w:hAnsi="Arial" w:cs="Arial"/>
                <w:sz w:val="22"/>
                <w:szCs w:val="22"/>
              </w:rPr>
            </w:pPr>
            <w:r w:rsidRPr="00501161">
              <w:rPr>
                <w:rFonts w:ascii="Arial" w:hAnsi="Arial" w:cs="Arial"/>
                <w:sz w:val="22"/>
                <w:szCs w:val="22"/>
              </w:rPr>
              <w:t>Theft by persons living with you is excluded</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r>
      <w:tr w:rsidR="000140C6" w:rsidRPr="00501161" w:rsidTr="00F30672">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Accidental glass breakage</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Up</w:t>
            </w:r>
            <w:r w:rsidR="00784579" w:rsidRPr="00501161">
              <w:rPr>
                <w:rFonts w:ascii="Arial" w:hAnsi="Arial" w:cs="Arial"/>
                <w:sz w:val="22"/>
                <w:szCs w:val="22"/>
              </w:rPr>
              <w:t xml:space="preserve"> </w:t>
            </w:r>
            <w:r w:rsidRPr="00501161">
              <w:rPr>
                <w:rFonts w:ascii="Arial" w:hAnsi="Arial" w:cs="Arial"/>
                <w:sz w:val="22"/>
                <w:szCs w:val="22"/>
              </w:rPr>
              <w:t xml:space="preserve">to </w:t>
            </w:r>
            <w:r w:rsidR="00784579" w:rsidRPr="00501161">
              <w:rPr>
                <w:rFonts w:ascii="Arial" w:hAnsi="Arial" w:cs="Arial"/>
                <w:sz w:val="22"/>
                <w:szCs w:val="22"/>
              </w:rPr>
              <w:t>$750</w:t>
            </w:r>
          </w:p>
        </w:tc>
        <w:tc>
          <w:tcPr>
            <w:tcW w:w="5150" w:type="dxa"/>
          </w:tcPr>
          <w:p w:rsidR="000140C6" w:rsidRPr="00501161" w:rsidRDefault="00784579" w:rsidP="009B16B1">
            <w:pPr>
              <w:keepLines/>
              <w:spacing w:line="276" w:lineRule="auto"/>
              <w:ind w:right="-96"/>
              <w:rPr>
                <w:rFonts w:ascii="Arial" w:hAnsi="Arial" w:cs="Arial"/>
                <w:sz w:val="22"/>
                <w:szCs w:val="22"/>
              </w:rPr>
            </w:pPr>
            <w:r w:rsidRPr="00501161">
              <w:rPr>
                <w:rFonts w:ascii="Arial" w:hAnsi="Arial" w:cs="Arial"/>
                <w:sz w:val="22"/>
                <w:szCs w:val="22"/>
              </w:rPr>
              <w:t>Maximum payment for each event is $750</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r>
      <w:tr w:rsidR="000140C6" w:rsidRPr="00501161" w:rsidTr="00F30672">
        <w:trPr>
          <w:trHeight w:val="70"/>
        </w:trPr>
        <w:tc>
          <w:tcPr>
            <w:tcW w:w="3323" w:type="dxa"/>
          </w:tcPr>
          <w:p w:rsidR="000140C6" w:rsidRPr="00501161" w:rsidRDefault="00842239" w:rsidP="009B16B1">
            <w:pPr>
              <w:keepLines/>
              <w:spacing w:line="276" w:lineRule="auto"/>
              <w:ind w:right="-96"/>
              <w:rPr>
                <w:rFonts w:ascii="Arial" w:hAnsi="Arial" w:cs="Arial"/>
                <w:sz w:val="22"/>
                <w:szCs w:val="22"/>
              </w:rPr>
            </w:pPr>
            <w:r w:rsidRPr="00501161">
              <w:rPr>
                <w:rFonts w:ascii="Arial" w:hAnsi="Arial" w:cs="Arial"/>
                <w:b/>
                <w:sz w:val="22"/>
                <w:szCs w:val="22"/>
              </w:rPr>
              <w:t>Sudden escape of liquid</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c>
          <w:tcPr>
            <w:tcW w:w="1099" w:type="dxa"/>
            <w:vAlign w:val="center"/>
          </w:tcPr>
          <w:p w:rsidR="000140C6" w:rsidRPr="00501161" w:rsidRDefault="000140C6" w:rsidP="009B16B1">
            <w:pPr>
              <w:keepLines/>
              <w:spacing w:line="276" w:lineRule="auto"/>
              <w:ind w:right="-96"/>
              <w:jc w:val="center"/>
              <w:rPr>
                <w:rFonts w:ascii="Arial" w:hAnsi="Arial" w:cs="Arial"/>
                <w:sz w:val="22"/>
                <w:szCs w:val="22"/>
              </w:rPr>
            </w:pPr>
            <w:r w:rsidRPr="00501161">
              <w:rPr>
                <w:rFonts w:ascii="Arial" w:hAnsi="Arial" w:cs="Arial"/>
                <w:sz w:val="22"/>
                <w:szCs w:val="22"/>
              </w:rPr>
              <w:t>√</w:t>
            </w:r>
          </w:p>
        </w:tc>
        <w:tc>
          <w:tcPr>
            <w:tcW w:w="5150" w:type="dxa"/>
          </w:tcPr>
          <w:p w:rsidR="000140C6" w:rsidRPr="00501161" w:rsidRDefault="00784579" w:rsidP="009B16B1">
            <w:pPr>
              <w:keepLines/>
              <w:spacing w:line="276" w:lineRule="auto"/>
              <w:ind w:right="-96"/>
              <w:rPr>
                <w:rFonts w:ascii="Arial" w:hAnsi="Arial" w:cs="Arial"/>
                <w:sz w:val="22"/>
                <w:szCs w:val="22"/>
              </w:rPr>
            </w:pPr>
            <w:r w:rsidRPr="00501161">
              <w:rPr>
                <w:rFonts w:ascii="Arial" w:hAnsi="Arial" w:cs="Arial"/>
                <w:sz w:val="22"/>
                <w:szCs w:val="22"/>
              </w:rPr>
              <w:t>Damage from liquid escaping slowly is excluded</w:t>
            </w:r>
            <w:r w:rsidR="00D849F9" w:rsidRPr="00501161">
              <w:rPr>
                <w:rFonts w:ascii="Arial" w:hAnsi="Arial" w:cs="Arial"/>
                <w:sz w:val="22"/>
                <w:szCs w:val="22"/>
              </w:rPr>
              <w:t xml:space="preserve"> (see PDS paragraph </w:t>
            </w:r>
            <w:proofErr w:type="spellStart"/>
            <w:r w:rsidR="00D849F9" w:rsidRPr="00501161">
              <w:rPr>
                <w:rFonts w:ascii="Arial" w:hAnsi="Arial" w:cs="Arial"/>
                <w:sz w:val="22"/>
                <w:szCs w:val="22"/>
              </w:rPr>
              <w:t>x.yz</w:t>
            </w:r>
            <w:proofErr w:type="spellEnd"/>
            <w:r w:rsidR="00D849F9" w:rsidRPr="00501161">
              <w:rPr>
                <w:rFonts w:ascii="Arial" w:hAnsi="Arial" w:cs="Arial"/>
                <w:sz w:val="22"/>
                <w:szCs w:val="22"/>
              </w:rPr>
              <w:t>)</w:t>
            </w:r>
          </w:p>
        </w:tc>
      </w:tr>
    </w:tbl>
    <w:p w:rsidR="006B1031" w:rsidRPr="00501161" w:rsidRDefault="006B1031" w:rsidP="00443F58">
      <w:pPr>
        <w:spacing w:line="276" w:lineRule="auto"/>
        <w:ind w:right="-96"/>
        <w:jc w:val="both"/>
        <w:rPr>
          <w:rFonts w:ascii="Arial" w:hAnsi="Arial" w:cs="Arial"/>
          <w:sz w:val="22"/>
          <w:szCs w:val="22"/>
        </w:rPr>
      </w:pPr>
    </w:p>
    <w:p w:rsidR="00784579" w:rsidRDefault="00784579" w:rsidP="005301AB">
      <w:pPr>
        <w:keepNext/>
        <w:spacing w:line="276" w:lineRule="auto"/>
        <w:ind w:right="-96"/>
        <w:jc w:val="both"/>
        <w:rPr>
          <w:rFonts w:ascii="Arial" w:hAnsi="Arial" w:cs="Arial"/>
          <w:sz w:val="22"/>
          <w:szCs w:val="22"/>
        </w:rPr>
      </w:pPr>
      <w:r w:rsidRPr="00501161">
        <w:rPr>
          <w:rFonts w:ascii="Arial" w:hAnsi="Arial" w:cs="Arial"/>
          <w:sz w:val="22"/>
          <w:szCs w:val="22"/>
        </w:rPr>
        <w:lastRenderedPageBreak/>
        <w:t>The advantages of this format are:</w:t>
      </w:r>
    </w:p>
    <w:p w:rsidR="00813A14" w:rsidRPr="00501161" w:rsidRDefault="00813A14" w:rsidP="005301AB">
      <w:pPr>
        <w:keepNext/>
        <w:spacing w:line="276" w:lineRule="auto"/>
        <w:ind w:right="-96"/>
        <w:jc w:val="both"/>
        <w:rPr>
          <w:rFonts w:ascii="Arial" w:hAnsi="Arial" w:cs="Arial"/>
          <w:sz w:val="22"/>
          <w:szCs w:val="22"/>
        </w:rPr>
      </w:pPr>
    </w:p>
    <w:p w:rsidR="00784579" w:rsidRDefault="00784579" w:rsidP="00784579">
      <w:pPr>
        <w:pStyle w:val="ListParagraph"/>
        <w:numPr>
          <w:ilvl w:val="0"/>
          <w:numId w:val="21"/>
        </w:numPr>
        <w:spacing w:line="276" w:lineRule="auto"/>
        <w:ind w:right="-96"/>
        <w:jc w:val="both"/>
        <w:rPr>
          <w:rFonts w:ascii="Arial" w:hAnsi="Arial" w:cs="Arial"/>
        </w:rPr>
      </w:pPr>
      <w:r w:rsidRPr="00501161">
        <w:rPr>
          <w:rFonts w:ascii="Arial" w:hAnsi="Arial" w:cs="Arial"/>
        </w:rPr>
        <w:t>It allows all prescribed events/risks to be listed in the table</w:t>
      </w:r>
      <w:r w:rsidR="00F30672">
        <w:rPr>
          <w:rFonts w:ascii="Arial" w:hAnsi="Arial" w:cs="Arial"/>
        </w:rPr>
        <w:t xml:space="preserve"> at the same place on all key facts statements, that is, in the left hand column in a standard order.</w:t>
      </w:r>
      <w:r w:rsidRPr="00501161">
        <w:rPr>
          <w:rFonts w:ascii="Arial" w:hAnsi="Arial" w:cs="Arial"/>
        </w:rPr>
        <w:t xml:space="preserve"> Where the left hand column is headed 'What is covered' (as in the example on page 11) </w:t>
      </w:r>
      <w:r w:rsidR="00F30672">
        <w:rPr>
          <w:rFonts w:ascii="Arial" w:hAnsi="Arial" w:cs="Arial"/>
        </w:rPr>
        <w:t>some insurers would list a risk in the left hand column and some in the right, depending on whether they covered it or not</w:t>
      </w:r>
      <w:r w:rsidRPr="00501161">
        <w:rPr>
          <w:rFonts w:ascii="Arial" w:hAnsi="Arial" w:cs="Arial"/>
        </w:rPr>
        <w:t>;</w:t>
      </w:r>
    </w:p>
    <w:p w:rsidR="00F30672" w:rsidRPr="00501161" w:rsidRDefault="00F30672" w:rsidP="00784579">
      <w:pPr>
        <w:pStyle w:val="ListParagraph"/>
        <w:numPr>
          <w:ilvl w:val="0"/>
          <w:numId w:val="21"/>
        </w:numPr>
        <w:spacing w:line="276" w:lineRule="auto"/>
        <w:ind w:right="-96"/>
        <w:jc w:val="both"/>
        <w:rPr>
          <w:rFonts w:ascii="Arial" w:hAnsi="Arial" w:cs="Arial"/>
        </w:rPr>
      </w:pPr>
      <w:r>
        <w:rPr>
          <w:rFonts w:ascii="Arial" w:hAnsi="Arial" w:cs="Arial"/>
        </w:rPr>
        <w:t>it allows the right hand column to purely list limitations/exclusions of coverage of an event which is covered</w:t>
      </w:r>
      <w:r w:rsidR="00E52097">
        <w:rPr>
          <w:rFonts w:ascii="Arial" w:hAnsi="Arial" w:cs="Arial"/>
        </w:rPr>
        <w:t>, making a cleaner, more easily understood table</w:t>
      </w:r>
      <w:r>
        <w:rPr>
          <w:rFonts w:ascii="Arial" w:hAnsi="Arial" w:cs="Arial"/>
        </w:rPr>
        <w:t>.  In the model on page 11 (assuming a list of events was prescribed), some entries in the right hand column ('what is NOT covered') would be wholesale exclusions of events, and other entries would be limitations on events covered.</w:t>
      </w:r>
    </w:p>
    <w:p w:rsidR="00784579" w:rsidRPr="00501161" w:rsidRDefault="00784579" w:rsidP="00784579">
      <w:pPr>
        <w:pStyle w:val="ListParagraph"/>
        <w:numPr>
          <w:ilvl w:val="0"/>
          <w:numId w:val="21"/>
        </w:numPr>
        <w:spacing w:line="276" w:lineRule="auto"/>
        <w:ind w:right="-96"/>
        <w:jc w:val="both"/>
        <w:rPr>
          <w:rFonts w:ascii="Arial" w:hAnsi="Arial" w:cs="Arial"/>
        </w:rPr>
      </w:pPr>
      <w:r w:rsidRPr="00501161">
        <w:rPr>
          <w:rFonts w:ascii="Arial" w:hAnsi="Arial" w:cs="Arial"/>
        </w:rPr>
        <w:t xml:space="preserve">it adopts the tick or cross </w:t>
      </w:r>
      <w:r w:rsidR="00E4148E" w:rsidRPr="00501161">
        <w:rPr>
          <w:rFonts w:ascii="Arial" w:hAnsi="Arial" w:cs="Arial"/>
        </w:rPr>
        <w:t xml:space="preserve">system </w:t>
      </w:r>
      <w:r w:rsidRPr="00501161">
        <w:rPr>
          <w:rFonts w:ascii="Arial" w:hAnsi="Arial" w:cs="Arial"/>
        </w:rPr>
        <w:t xml:space="preserve">of the example at paragraph 69, </w:t>
      </w:r>
      <w:r w:rsidR="00E4148E" w:rsidRPr="00501161">
        <w:rPr>
          <w:rFonts w:ascii="Arial" w:hAnsi="Arial" w:cs="Arial"/>
        </w:rPr>
        <w:t xml:space="preserve">but removes the confusion caused by the use </w:t>
      </w:r>
      <w:r w:rsidR="002B135C" w:rsidRPr="00501161">
        <w:rPr>
          <w:rFonts w:ascii="Arial" w:hAnsi="Arial" w:cs="Arial"/>
        </w:rPr>
        <w:t xml:space="preserve">both of the tick symbol and </w:t>
      </w:r>
      <w:r w:rsidR="00E4148E" w:rsidRPr="00501161">
        <w:rPr>
          <w:rFonts w:ascii="Arial" w:hAnsi="Arial" w:cs="Arial"/>
        </w:rPr>
        <w:t>the term 'partial'</w:t>
      </w:r>
      <w:r w:rsidRPr="00501161">
        <w:rPr>
          <w:rFonts w:ascii="Arial" w:hAnsi="Arial" w:cs="Arial"/>
        </w:rPr>
        <w:t>;</w:t>
      </w:r>
    </w:p>
    <w:p w:rsidR="00784579" w:rsidRPr="00501161" w:rsidRDefault="00784579" w:rsidP="00784579">
      <w:pPr>
        <w:pStyle w:val="ListParagraph"/>
        <w:numPr>
          <w:ilvl w:val="0"/>
          <w:numId w:val="21"/>
        </w:numPr>
        <w:spacing w:line="276" w:lineRule="auto"/>
        <w:ind w:right="-96"/>
        <w:jc w:val="both"/>
        <w:rPr>
          <w:rFonts w:ascii="Arial" w:hAnsi="Arial" w:cs="Arial"/>
        </w:rPr>
      </w:pPr>
      <w:r w:rsidRPr="00501161">
        <w:rPr>
          <w:rFonts w:ascii="Arial" w:hAnsi="Arial" w:cs="Arial"/>
        </w:rPr>
        <w:t>It clearly states if there are no exclusions to the cover of a particular risk.  Where the 'exclusions' field is left blank, consumers may be unsure whether this means there are no exclusions, or simply that the exclusions are not listed.</w:t>
      </w:r>
    </w:p>
    <w:p w:rsidR="00E05F7F" w:rsidRDefault="00E05F7F" w:rsidP="00E4148E">
      <w:pPr>
        <w:pStyle w:val="BoxText"/>
        <w:rPr>
          <w:rFonts w:ascii="Arial" w:hAnsi="Arial" w:cs="Arial"/>
          <w:i/>
          <w:szCs w:val="22"/>
        </w:rPr>
      </w:pPr>
    </w:p>
    <w:p w:rsidR="00E4148E" w:rsidRPr="00501161" w:rsidRDefault="0088597C" w:rsidP="00E4148E">
      <w:pPr>
        <w:pStyle w:val="BoxText"/>
        <w:rPr>
          <w:rFonts w:ascii="Arial" w:hAnsi="Arial" w:cs="Arial"/>
          <w:szCs w:val="22"/>
        </w:rPr>
      </w:pPr>
      <w:r w:rsidRPr="00501161">
        <w:rPr>
          <w:rFonts w:ascii="Arial" w:hAnsi="Arial" w:cs="Arial"/>
          <w:i/>
          <w:szCs w:val="22"/>
        </w:rPr>
        <w:t xml:space="preserve">Should the wording of </w:t>
      </w:r>
      <w:r w:rsidR="00E4148E" w:rsidRPr="00501161">
        <w:rPr>
          <w:rFonts w:ascii="Arial" w:hAnsi="Arial" w:cs="Arial"/>
          <w:i/>
          <w:szCs w:val="22"/>
        </w:rPr>
        <w:t>[the 'need to consider risks']</w:t>
      </w:r>
      <w:r w:rsidRPr="00501161">
        <w:rPr>
          <w:rFonts w:ascii="Arial" w:hAnsi="Arial" w:cs="Arial"/>
          <w:i/>
          <w:szCs w:val="22"/>
        </w:rPr>
        <w:t xml:space="preserve"> statement be prescribed?</w:t>
      </w:r>
    </w:p>
    <w:p w:rsidR="00CC30EB" w:rsidRDefault="00E52097" w:rsidP="00AB6749">
      <w:pPr>
        <w:spacing w:line="276" w:lineRule="auto"/>
        <w:ind w:right="-96"/>
        <w:jc w:val="both"/>
        <w:rPr>
          <w:rFonts w:ascii="Arial" w:hAnsi="Arial" w:cs="Arial"/>
          <w:sz w:val="22"/>
          <w:szCs w:val="22"/>
        </w:rPr>
      </w:pPr>
      <w:r>
        <w:rPr>
          <w:rFonts w:ascii="Arial" w:hAnsi="Arial" w:cs="Arial"/>
          <w:sz w:val="22"/>
          <w:szCs w:val="22"/>
        </w:rPr>
        <w:t>In our view, this kind of statement is of very little use to consumers and need not be included at all.  If this text refers to risks which are listed in the table of events, a consumer does not need to be notified about those risks - the table has already done so.  If the text refers to risks not included in the event table, few consumers will know how to check whether their policy covers the risk or not, so the warning is of no use.</w:t>
      </w:r>
    </w:p>
    <w:p w:rsidR="00AB6749" w:rsidRPr="00501161" w:rsidRDefault="00AB6749" w:rsidP="00AB6749">
      <w:pPr>
        <w:spacing w:line="276" w:lineRule="auto"/>
        <w:ind w:right="-96"/>
        <w:jc w:val="both"/>
        <w:rPr>
          <w:rFonts w:ascii="Arial" w:hAnsi="Arial" w:cs="Arial"/>
          <w:sz w:val="22"/>
          <w:szCs w:val="22"/>
        </w:rPr>
      </w:pPr>
    </w:p>
    <w:p w:rsidR="00CC30EB" w:rsidRDefault="00E52097" w:rsidP="00AB6749">
      <w:pPr>
        <w:spacing w:line="276" w:lineRule="auto"/>
        <w:ind w:right="-96"/>
        <w:jc w:val="both"/>
        <w:rPr>
          <w:rFonts w:ascii="Arial" w:hAnsi="Arial" w:cs="Arial"/>
          <w:sz w:val="22"/>
          <w:szCs w:val="22"/>
        </w:rPr>
      </w:pPr>
      <w:r>
        <w:rPr>
          <w:rFonts w:ascii="Arial" w:hAnsi="Arial" w:cs="Arial"/>
          <w:sz w:val="22"/>
          <w:szCs w:val="22"/>
        </w:rPr>
        <w:t>If it is decided to retain this statement</w:t>
      </w:r>
      <w:r w:rsidR="008A6247" w:rsidRPr="00501161">
        <w:rPr>
          <w:rFonts w:ascii="Arial" w:hAnsi="Arial" w:cs="Arial"/>
          <w:sz w:val="22"/>
          <w:szCs w:val="22"/>
        </w:rPr>
        <w:t xml:space="preserve"> it is important that if the statement advises consumers to consider a particular risk </w:t>
      </w:r>
      <w:r w:rsidR="003973A7" w:rsidRPr="00501161">
        <w:rPr>
          <w:rFonts w:ascii="Arial" w:hAnsi="Arial" w:cs="Arial"/>
          <w:sz w:val="22"/>
          <w:szCs w:val="22"/>
        </w:rPr>
        <w:t>that the consumer can use the key facts sheet to find out whether they are covered for that risk</w:t>
      </w:r>
      <w:r w:rsidR="00D02C71" w:rsidRPr="00501161">
        <w:rPr>
          <w:rFonts w:ascii="Arial" w:hAnsi="Arial" w:cs="Arial"/>
          <w:sz w:val="22"/>
          <w:szCs w:val="22"/>
        </w:rPr>
        <w:t xml:space="preserve">.  </w:t>
      </w:r>
      <w:r w:rsidR="008A6247" w:rsidRPr="00501161">
        <w:rPr>
          <w:rFonts w:ascii="Arial" w:hAnsi="Arial" w:cs="Arial"/>
          <w:sz w:val="22"/>
          <w:szCs w:val="22"/>
        </w:rPr>
        <w:t>T</w:t>
      </w:r>
      <w:r w:rsidR="00D02C71" w:rsidRPr="00501161">
        <w:rPr>
          <w:rFonts w:ascii="Arial" w:hAnsi="Arial" w:cs="Arial"/>
          <w:sz w:val="22"/>
          <w:szCs w:val="22"/>
        </w:rPr>
        <w:t>he example on page 11 recommends people consider whether their policy covers "land slippage" though this risk is not included on the risk of events in the table above.</w:t>
      </w:r>
    </w:p>
    <w:p w:rsidR="00AB6749" w:rsidRPr="00501161" w:rsidRDefault="00AB6749" w:rsidP="00AB6749">
      <w:pPr>
        <w:spacing w:line="276" w:lineRule="auto"/>
        <w:ind w:right="-96"/>
        <w:jc w:val="both"/>
        <w:rPr>
          <w:rFonts w:ascii="Arial" w:hAnsi="Arial" w:cs="Arial"/>
          <w:sz w:val="22"/>
          <w:szCs w:val="22"/>
        </w:rPr>
      </w:pPr>
    </w:p>
    <w:p w:rsidR="0088597C" w:rsidRPr="00501161" w:rsidRDefault="0088597C" w:rsidP="00443F58">
      <w:pPr>
        <w:spacing w:line="276" w:lineRule="auto"/>
        <w:ind w:right="-96"/>
        <w:jc w:val="both"/>
        <w:rPr>
          <w:rFonts w:ascii="Arial" w:hAnsi="Arial" w:cs="Arial"/>
          <w:i/>
          <w:sz w:val="22"/>
          <w:szCs w:val="22"/>
        </w:rPr>
      </w:pPr>
      <w:r w:rsidRPr="00501161">
        <w:rPr>
          <w:rFonts w:ascii="Arial" w:hAnsi="Arial" w:cs="Arial"/>
          <w:i/>
          <w:sz w:val="22"/>
          <w:szCs w:val="22"/>
        </w:rPr>
        <w:t xml:space="preserve">Should the wording of </w:t>
      </w:r>
      <w:r w:rsidR="00752688" w:rsidRPr="00501161">
        <w:rPr>
          <w:rFonts w:ascii="Arial" w:hAnsi="Arial" w:cs="Arial"/>
          <w:i/>
          <w:sz w:val="22"/>
          <w:szCs w:val="22"/>
        </w:rPr>
        <w:t>[the</w:t>
      </w:r>
      <w:r w:rsidRPr="00501161">
        <w:rPr>
          <w:rFonts w:ascii="Arial" w:hAnsi="Arial" w:cs="Arial"/>
          <w:i/>
          <w:sz w:val="22"/>
          <w:szCs w:val="22"/>
        </w:rPr>
        <w:t xml:space="preserve"> statement </w:t>
      </w:r>
      <w:r w:rsidR="00752688" w:rsidRPr="00501161">
        <w:rPr>
          <w:rFonts w:ascii="Arial" w:hAnsi="Arial" w:cs="Arial"/>
          <w:i/>
          <w:sz w:val="22"/>
          <w:szCs w:val="22"/>
        </w:rPr>
        <w:t xml:space="preserve">regarding cooling-off rights] </w:t>
      </w:r>
      <w:r w:rsidRPr="00501161">
        <w:rPr>
          <w:rFonts w:ascii="Arial" w:hAnsi="Arial" w:cs="Arial"/>
          <w:i/>
          <w:sz w:val="22"/>
          <w:szCs w:val="22"/>
        </w:rPr>
        <w:t>be prescribed?</w:t>
      </w:r>
    </w:p>
    <w:p w:rsidR="00AB6749" w:rsidRDefault="00AB6749" w:rsidP="00AB6749">
      <w:pPr>
        <w:spacing w:line="276" w:lineRule="auto"/>
        <w:ind w:right="-96"/>
        <w:jc w:val="both"/>
        <w:rPr>
          <w:rFonts w:ascii="Arial" w:hAnsi="Arial" w:cs="Arial"/>
          <w:sz w:val="22"/>
          <w:szCs w:val="22"/>
        </w:rPr>
      </w:pPr>
    </w:p>
    <w:p w:rsidR="00AB6749" w:rsidRPr="00501161" w:rsidRDefault="00752688" w:rsidP="00AB6749">
      <w:pPr>
        <w:spacing w:line="276" w:lineRule="auto"/>
        <w:ind w:right="-96"/>
        <w:jc w:val="both"/>
        <w:rPr>
          <w:rFonts w:ascii="Arial" w:hAnsi="Arial" w:cs="Arial"/>
          <w:sz w:val="22"/>
          <w:szCs w:val="22"/>
        </w:rPr>
      </w:pPr>
      <w:r w:rsidRPr="00501161">
        <w:rPr>
          <w:rFonts w:ascii="Arial" w:hAnsi="Arial" w:cs="Arial"/>
          <w:sz w:val="22"/>
          <w:szCs w:val="22"/>
        </w:rPr>
        <w:t xml:space="preserve">Yes.  </w:t>
      </w:r>
      <w:r w:rsidR="00E52097">
        <w:rPr>
          <w:rFonts w:ascii="Arial" w:hAnsi="Arial" w:cs="Arial"/>
          <w:sz w:val="22"/>
          <w:szCs w:val="22"/>
        </w:rPr>
        <w:t>I</w:t>
      </w:r>
      <w:r w:rsidRPr="00501161">
        <w:rPr>
          <w:rFonts w:ascii="Arial" w:hAnsi="Arial" w:cs="Arial"/>
          <w:sz w:val="22"/>
          <w:szCs w:val="22"/>
        </w:rPr>
        <w:t>n our view, the statement should be standardised as much as possible</w:t>
      </w:r>
      <w:r w:rsidR="00E52097">
        <w:rPr>
          <w:rFonts w:ascii="Arial" w:hAnsi="Arial" w:cs="Arial"/>
          <w:sz w:val="22"/>
          <w:szCs w:val="22"/>
        </w:rPr>
        <w:t xml:space="preserve"> to facilitate easy</w:t>
      </w:r>
      <w:r w:rsidR="002B575A" w:rsidRPr="00501161">
        <w:rPr>
          <w:rFonts w:ascii="Arial" w:hAnsi="Arial" w:cs="Arial"/>
          <w:sz w:val="22"/>
          <w:szCs w:val="22"/>
        </w:rPr>
        <w:t xml:space="preserve"> comparisons</w:t>
      </w:r>
      <w:r w:rsidRPr="00501161">
        <w:rPr>
          <w:rFonts w:ascii="Arial" w:hAnsi="Arial" w:cs="Arial"/>
          <w:sz w:val="22"/>
          <w:szCs w:val="22"/>
        </w:rPr>
        <w:t>.</w:t>
      </w:r>
      <w:r w:rsidR="002B575A" w:rsidRPr="00501161">
        <w:rPr>
          <w:rFonts w:ascii="Arial" w:hAnsi="Arial" w:cs="Arial"/>
          <w:sz w:val="22"/>
          <w:szCs w:val="22"/>
        </w:rPr>
        <w:t xml:space="preserve">  Information about the consumer's cooling off rights is very important, and the only way to ensure it</w:t>
      </w:r>
      <w:r w:rsidRPr="00501161">
        <w:rPr>
          <w:rFonts w:ascii="Arial" w:hAnsi="Arial" w:cs="Arial"/>
          <w:sz w:val="22"/>
          <w:szCs w:val="22"/>
        </w:rPr>
        <w:t xml:space="preserve"> </w:t>
      </w:r>
      <w:r w:rsidR="002B575A" w:rsidRPr="00501161">
        <w:rPr>
          <w:rFonts w:ascii="Arial" w:hAnsi="Arial" w:cs="Arial"/>
          <w:sz w:val="22"/>
          <w:szCs w:val="22"/>
        </w:rPr>
        <w:t xml:space="preserve">is properly and clearly presented is to prescribe requirements for this information.  This would be consistent with the new Australian Consumer Law approach to cooling off rights - it also prescribes certain requirements for the giving of information about the consumer's right to terminate an unsolicited consumer agreement within the termination period.  We also suggest that the wording include not only a statement about the existence of cooling off rights but a simple sentence explaining how the consumer can exercise these cooling off rights if they wish to do so. </w:t>
      </w:r>
      <w:r w:rsidRPr="00501161">
        <w:rPr>
          <w:rFonts w:ascii="Arial" w:hAnsi="Arial" w:cs="Arial"/>
          <w:sz w:val="22"/>
          <w:szCs w:val="22"/>
        </w:rPr>
        <w:t xml:space="preserve"> </w:t>
      </w:r>
    </w:p>
    <w:p w:rsidR="000B0923" w:rsidRPr="00501161" w:rsidRDefault="0088597C" w:rsidP="00752688">
      <w:pPr>
        <w:spacing w:before="240" w:after="240" w:line="276" w:lineRule="auto"/>
        <w:ind w:right="-96"/>
        <w:jc w:val="both"/>
        <w:rPr>
          <w:rFonts w:ascii="Arial" w:hAnsi="Arial" w:cs="Arial"/>
          <w:sz w:val="22"/>
          <w:szCs w:val="22"/>
        </w:rPr>
      </w:pPr>
      <w:r w:rsidRPr="00501161">
        <w:rPr>
          <w:rFonts w:ascii="Arial" w:hAnsi="Arial" w:cs="Arial"/>
          <w:i/>
          <w:sz w:val="22"/>
          <w:szCs w:val="22"/>
        </w:rPr>
        <w:t>Is it feasible to require that a standard excess be disclosed (in dollar value), and a note to the effect that it may be varied (if applicable)?</w:t>
      </w:r>
    </w:p>
    <w:p w:rsidR="00752688" w:rsidRDefault="0088597C" w:rsidP="00AB6749">
      <w:pPr>
        <w:spacing w:line="276" w:lineRule="auto"/>
        <w:ind w:right="-96"/>
        <w:jc w:val="both"/>
        <w:rPr>
          <w:rFonts w:ascii="Arial" w:hAnsi="Arial" w:cs="Arial"/>
          <w:sz w:val="22"/>
          <w:szCs w:val="22"/>
        </w:rPr>
      </w:pPr>
      <w:r w:rsidRPr="00AB6749">
        <w:rPr>
          <w:rFonts w:ascii="Arial" w:hAnsi="Arial" w:cs="Arial"/>
          <w:sz w:val="22"/>
          <w:szCs w:val="22"/>
        </w:rPr>
        <w:t xml:space="preserve">Yes.  </w:t>
      </w:r>
      <w:r w:rsidR="000B0923" w:rsidRPr="00AB6749">
        <w:rPr>
          <w:rFonts w:ascii="Arial" w:hAnsi="Arial" w:cs="Arial"/>
          <w:sz w:val="22"/>
          <w:szCs w:val="22"/>
        </w:rPr>
        <w:t>The amount of any excess is likely to be an important consideration for consumer</w:t>
      </w:r>
      <w:r w:rsidR="00E55E55" w:rsidRPr="00AB6749">
        <w:rPr>
          <w:rFonts w:ascii="Arial" w:hAnsi="Arial" w:cs="Arial"/>
          <w:sz w:val="22"/>
          <w:szCs w:val="22"/>
        </w:rPr>
        <w:t>s</w:t>
      </w:r>
      <w:r w:rsidR="000B0923" w:rsidRPr="00AB6749">
        <w:rPr>
          <w:rFonts w:ascii="Arial" w:hAnsi="Arial" w:cs="Arial"/>
          <w:sz w:val="22"/>
          <w:szCs w:val="22"/>
        </w:rPr>
        <w:t xml:space="preserve">.  While we accept that an exact dollar value </w:t>
      </w:r>
      <w:r w:rsidR="006A1BAE" w:rsidRPr="00AB6749">
        <w:rPr>
          <w:rFonts w:ascii="Arial" w:hAnsi="Arial" w:cs="Arial"/>
          <w:sz w:val="22"/>
          <w:szCs w:val="22"/>
        </w:rPr>
        <w:t xml:space="preserve">cannot be provided in all cases, we think it is quite feasible </w:t>
      </w:r>
      <w:r w:rsidR="006A1BAE" w:rsidRPr="00AB6749">
        <w:rPr>
          <w:rFonts w:ascii="Arial" w:hAnsi="Arial" w:cs="Arial"/>
          <w:sz w:val="22"/>
          <w:szCs w:val="22"/>
        </w:rPr>
        <w:lastRenderedPageBreak/>
        <w:t xml:space="preserve">for insurers to provide an indication of the excess payable.  This could be expressed </w:t>
      </w:r>
      <w:r w:rsidR="002B135C" w:rsidRPr="00AB6749">
        <w:rPr>
          <w:rFonts w:ascii="Arial" w:hAnsi="Arial" w:cs="Arial"/>
          <w:sz w:val="22"/>
          <w:szCs w:val="22"/>
        </w:rPr>
        <w:t>as a figure "between $x and $y" or</w:t>
      </w:r>
      <w:r w:rsidR="006A1BAE" w:rsidRPr="00AB6749">
        <w:rPr>
          <w:rFonts w:ascii="Arial" w:hAnsi="Arial" w:cs="Arial"/>
          <w:sz w:val="22"/>
          <w:szCs w:val="22"/>
        </w:rPr>
        <w:t xml:space="preserve">  "up to $x".  </w:t>
      </w:r>
    </w:p>
    <w:p w:rsidR="00AB6749" w:rsidRPr="00AB6749" w:rsidRDefault="00AB6749" w:rsidP="00AB6749">
      <w:pPr>
        <w:spacing w:line="276" w:lineRule="auto"/>
        <w:ind w:right="-96"/>
        <w:jc w:val="both"/>
        <w:rPr>
          <w:rFonts w:ascii="Arial" w:hAnsi="Arial" w:cs="Arial"/>
          <w:sz w:val="22"/>
          <w:szCs w:val="22"/>
        </w:rPr>
      </w:pPr>
    </w:p>
    <w:p w:rsidR="006764CE" w:rsidRDefault="00936C64" w:rsidP="00AB6749">
      <w:pPr>
        <w:spacing w:line="276" w:lineRule="auto"/>
        <w:ind w:right="-96"/>
        <w:jc w:val="both"/>
        <w:rPr>
          <w:rFonts w:ascii="Arial" w:hAnsi="Arial" w:cs="Arial"/>
          <w:sz w:val="22"/>
          <w:szCs w:val="22"/>
        </w:rPr>
      </w:pPr>
      <w:r w:rsidRPr="00AB6749">
        <w:rPr>
          <w:rFonts w:ascii="Arial" w:hAnsi="Arial" w:cs="Arial"/>
          <w:sz w:val="22"/>
          <w:szCs w:val="22"/>
        </w:rPr>
        <w:t>We also note that the wording in the consultation draft on page 11 describes the excess as: 'An excess may be payable if a claim is made', but recent case law confirms that an excess should not be a barrier to a consumer's claim being made or paid, rather, it may be deducted from the claim paid.  It is very important that consumers are not wrongly told they cannot make or obtain a claim until they have paid an excess</w:t>
      </w:r>
      <w:r w:rsidR="006764CE" w:rsidRPr="00AB6749">
        <w:rPr>
          <w:rFonts w:ascii="Arial" w:hAnsi="Arial" w:cs="Arial"/>
          <w:sz w:val="22"/>
          <w:szCs w:val="22"/>
        </w:rPr>
        <w:t xml:space="preserve"> - this has been a significant concern in some of our insurance casework involving lower income consumers, where these consumers have been prevented from obtaining a claim that is otherwise payable because they cannot afford </w:t>
      </w:r>
      <w:r w:rsidR="003D3BA5" w:rsidRPr="00AB6749">
        <w:rPr>
          <w:rFonts w:ascii="Arial" w:hAnsi="Arial" w:cs="Arial"/>
          <w:sz w:val="22"/>
          <w:szCs w:val="22"/>
        </w:rPr>
        <w:t xml:space="preserve">to pay </w:t>
      </w:r>
      <w:r w:rsidR="006764CE" w:rsidRPr="00AB6749">
        <w:rPr>
          <w:rFonts w:ascii="Arial" w:hAnsi="Arial" w:cs="Arial"/>
          <w:sz w:val="22"/>
          <w:szCs w:val="22"/>
        </w:rPr>
        <w:t xml:space="preserve">the excess as a lump sum upfront payment </w:t>
      </w:r>
      <w:r w:rsidR="003D3BA5" w:rsidRPr="00AB6749">
        <w:rPr>
          <w:rFonts w:ascii="Arial" w:hAnsi="Arial" w:cs="Arial"/>
          <w:sz w:val="22"/>
          <w:szCs w:val="22"/>
        </w:rPr>
        <w:t>but</w:t>
      </w:r>
      <w:r w:rsidR="006764CE" w:rsidRPr="00AB6749">
        <w:rPr>
          <w:rFonts w:ascii="Arial" w:hAnsi="Arial" w:cs="Arial"/>
          <w:sz w:val="22"/>
          <w:szCs w:val="22"/>
        </w:rPr>
        <w:t xml:space="preserve"> the insurer refuses to pay the claim until the excess is paid</w:t>
      </w:r>
      <w:r w:rsidRPr="00AB6749">
        <w:rPr>
          <w:rFonts w:ascii="Arial" w:hAnsi="Arial" w:cs="Arial"/>
          <w:sz w:val="22"/>
          <w:szCs w:val="22"/>
        </w:rPr>
        <w:t>.</w:t>
      </w:r>
    </w:p>
    <w:p w:rsidR="00AB6749" w:rsidRPr="00AB6749" w:rsidRDefault="00AB6749" w:rsidP="00AB6749">
      <w:pPr>
        <w:spacing w:line="276" w:lineRule="auto"/>
        <w:ind w:right="-96"/>
        <w:jc w:val="both"/>
        <w:rPr>
          <w:rFonts w:ascii="Arial" w:hAnsi="Arial" w:cs="Arial"/>
          <w:sz w:val="22"/>
          <w:szCs w:val="22"/>
        </w:rPr>
      </w:pPr>
    </w:p>
    <w:p w:rsidR="00936C64" w:rsidRDefault="00936C64" w:rsidP="00AB6749">
      <w:pPr>
        <w:spacing w:line="276" w:lineRule="auto"/>
        <w:ind w:right="-96"/>
        <w:jc w:val="both"/>
        <w:rPr>
          <w:rFonts w:ascii="Arial" w:hAnsi="Arial" w:cs="Arial"/>
          <w:sz w:val="22"/>
          <w:szCs w:val="22"/>
        </w:rPr>
      </w:pPr>
      <w:r w:rsidRPr="00AB6749">
        <w:rPr>
          <w:rFonts w:ascii="Arial" w:hAnsi="Arial" w:cs="Arial"/>
          <w:sz w:val="22"/>
          <w:szCs w:val="22"/>
        </w:rPr>
        <w:t xml:space="preserve">We </w:t>
      </w:r>
      <w:r w:rsidR="006764CE" w:rsidRPr="00AB6749">
        <w:rPr>
          <w:rFonts w:ascii="Arial" w:hAnsi="Arial" w:cs="Arial"/>
          <w:sz w:val="22"/>
          <w:szCs w:val="22"/>
        </w:rPr>
        <w:t xml:space="preserve">therefore strongly </w:t>
      </w:r>
      <w:r w:rsidRPr="00AB6749">
        <w:rPr>
          <w:rFonts w:ascii="Arial" w:hAnsi="Arial" w:cs="Arial"/>
          <w:sz w:val="22"/>
          <w:szCs w:val="22"/>
        </w:rPr>
        <w:t>recommend that standardised wording be required and that it describe the excess as an amount that may be borne by the consumer (whether paid at the time of the claim or deducted from the claim amount).</w:t>
      </w:r>
    </w:p>
    <w:p w:rsidR="00AB6749" w:rsidRPr="00AB6749" w:rsidRDefault="00AB6749" w:rsidP="00AB6749">
      <w:pPr>
        <w:spacing w:line="276" w:lineRule="auto"/>
        <w:ind w:right="-96"/>
        <w:jc w:val="both"/>
        <w:rPr>
          <w:rFonts w:ascii="Arial" w:hAnsi="Arial" w:cs="Arial"/>
          <w:sz w:val="22"/>
          <w:szCs w:val="22"/>
        </w:rPr>
      </w:pPr>
    </w:p>
    <w:p w:rsidR="0088597C" w:rsidRPr="00501161" w:rsidRDefault="0088597C" w:rsidP="00752688">
      <w:pPr>
        <w:pStyle w:val="BoxText"/>
        <w:rPr>
          <w:rFonts w:ascii="Arial" w:hAnsi="Arial" w:cs="Arial"/>
          <w:i/>
          <w:szCs w:val="22"/>
        </w:rPr>
      </w:pPr>
      <w:r w:rsidRPr="00501161">
        <w:rPr>
          <w:rFonts w:ascii="Arial" w:hAnsi="Arial" w:cs="Arial"/>
          <w:i/>
          <w:szCs w:val="22"/>
        </w:rPr>
        <w:t xml:space="preserve">If there is a reference to the PDS, is it feasible to refer to specific pages/paragraphs, rather than </w:t>
      </w:r>
      <w:r w:rsidR="006A1BAE" w:rsidRPr="00501161">
        <w:rPr>
          <w:rFonts w:ascii="Arial" w:hAnsi="Arial" w:cs="Arial"/>
          <w:i/>
          <w:szCs w:val="22"/>
        </w:rPr>
        <w:t>to the PDS generally?</w:t>
      </w:r>
    </w:p>
    <w:p w:rsidR="00440647" w:rsidRDefault="006A1BAE" w:rsidP="002E1244">
      <w:pPr>
        <w:spacing w:line="276" w:lineRule="auto"/>
        <w:ind w:right="-96"/>
        <w:jc w:val="both"/>
        <w:rPr>
          <w:rFonts w:ascii="Arial" w:hAnsi="Arial" w:cs="Arial"/>
          <w:sz w:val="22"/>
          <w:szCs w:val="22"/>
        </w:rPr>
      </w:pPr>
      <w:r w:rsidRPr="002E1244">
        <w:rPr>
          <w:rFonts w:ascii="Arial" w:hAnsi="Arial" w:cs="Arial"/>
          <w:sz w:val="22"/>
          <w:szCs w:val="22"/>
        </w:rPr>
        <w:t xml:space="preserve">Yes.  It should be mandatory for all references to the PDS on the key facts </w:t>
      </w:r>
      <w:r w:rsidR="00446655" w:rsidRPr="002E1244">
        <w:rPr>
          <w:rFonts w:ascii="Arial" w:hAnsi="Arial" w:cs="Arial"/>
          <w:sz w:val="22"/>
          <w:szCs w:val="22"/>
        </w:rPr>
        <w:t>statement</w:t>
      </w:r>
      <w:r w:rsidRPr="002E1244">
        <w:rPr>
          <w:rFonts w:ascii="Arial" w:hAnsi="Arial" w:cs="Arial"/>
          <w:sz w:val="22"/>
          <w:szCs w:val="22"/>
        </w:rPr>
        <w:t xml:space="preserve"> to specify the relevant pages or paragraphs.  </w:t>
      </w:r>
      <w:r w:rsidR="00D86959" w:rsidRPr="002E1244">
        <w:rPr>
          <w:rFonts w:ascii="Arial" w:hAnsi="Arial" w:cs="Arial"/>
          <w:sz w:val="22"/>
          <w:szCs w:val="22"/>
        </w:rPr>
        <w:t xml:space="preserve">As we have already argued, many consumers </w:t>
      </w:r>
      <w:r w:rsidR="00440647" w:rsidRPr="002E1244">
        <w:rPr>
          <w:rFonts w:ascii="Arial" w:hAnsi="Arial" w:cs="Arial"/>
          <w:sz w:val="22"/>
          <w:szCs w:val="22"/>
        </w:rPr>
        <w:t xml:space="preserve">do not read </w:t>
      </w:r>
      <w:r w:rsidR="00D86959" w:rsidRPr="002E1244">
        <w:rPr>
          <w:rFonts w:ascii="Arial" w:hAnsi="Arial" w:cs="Arial"/>
          <w:sz w:val="22"/>
          <w:szCs w:val="22"/>
        </w:rPr>
        <w:t xml:space="preserve">their </w:t>
      </w:r>
      <w:r w:rsidR="00440647" w:rsidRPr="002E1244">
        <w:rPr>
          <w:rFonts w:ascii="Arial" w:hAnsi="Arial" w:cs="Arial"/>
          <w:sz w:val="22"/>
          <w:szCs w:val="22"/>
        </w:rPr>
        <w:t>PDS because they f</w:t>
      </w:r>
      <w:r w:rsidR="00D86959" w:rsidRPr="002E1244">
        <w:rPr>
          <w:rFonts w:ascii="Arial" w:hAnsi="Arial" w:cs="Arial"/>
          <w:sz w:val="22"/>
          <w:szCs w:val="22"/>
        </w:rPr>
        <w:t xml:space="preserve">ind them confusing and daunting.  </w:t>
      </w:r>
      <w:r w:rsidR="002B135C" w:rsidRPr="002E1244">
        <w:rPr>
          <w:rFonts w:ascii="Arial" w:hAnsi="Arial" w:cs="Arial"/>
          <w:sz w:val="22"/>
          <w:szCs w:val="22"/>
        </w:rPr>
        <w:t>This being so, s</w:t>
      </w:r>
      <w:r w:rsidR="00440647" w:rsidRPr="002E1244">
        <w:rPr>
          <w:rFonts w:ascii="Arial" w:hAnsi="Arial" w:cs="Arial"/>
          <w:sz w:val="22"/>
          <w:szCs w:val="22"/>
        </w:rPr>
        <w:t xml:space="preserve">imply referring </w:t>
      </w:r>
      <w:r w:rsidR="002B135C" w:rsidRPr="002E1244">
        <w:rPr>
          <w:rFonts w:ascii="Arial" w:hAnsi="Arial" w:cs="Arial"/>
          <w:sz w:val="22"/>
          <w:szCs w:val="22"/>
        </w:rPr>
        <w:t>a consumer to the PDS</w:t>
      </w:r>
      <w:r w:rsidR="00440647" w:rsidRPr="002E1244">
        <w:rPr>
          <w:rFonts w:ascii="Arial" w:hAnsi="Arial" w:cs="Arial"/>
          <w:sz w:val="22"/>
          <w:szCs w:val="22"/>
        </w:rPr>
        <w:t xml:space="preserve"> is little better than saying nothing at all</w:t>
      </w:r>
      <w:r w:rsidR="00D86959" w:rsidRPr="002E1244">
        <w:rPr>
          <w:rFonts w:ascii="Arial" w:hAnsi="Arial" w:cs="Arial"/>
          <w:sz w:val="22"/>
          <w:szCs w:val="22"/>
        </w:rPr>
        <w:t>, as the consumer is still unlikely to find or read the relevant section</w:t>
      </w:r>
      <w:r w:rsidR="002B135C" w:rsidRPr="002E1244">
        <w:rPr>
          <w:rFonts w:ascii="Arial" w:hAnsi="Arial" w:cs="Arial"/>
          <w:sz w:val="22"/>
          <w:szCs w:val="22"/>
        </w:rPr>
        <w:t>.</w:t>
      </w:r>
    </w:p>
    <w:p w:rsidR="002E1244" w:rsidRPr="002E1244" w:rsidRDefault="002E1244" w:rsidP="002E1244">
      <w:pPr>
        <w:spacing w:line="276" w:lineRule="auto"/>
        <w:ind w:right="-96"/>
        <w:jc w:val="both"/>
        <w:rPr>
          <w:rFonts w:ascii="Arial" w:hAnsi="Arial" w:cs="Arial"/>
          <w:sz w:val="22"/>
          <w:szCs w:val="22"/>
        </w:rPr>
      </w:pPr>
    </w:p>
    <w:p w:rsidR="006A1BAE" w:rsidRDefault="00440647" w:rsidP="002E1244">
      <w:pPr>
        <w:spacing w:line="276" w:lineRule="auto"/>
        <w:ind w:right="-96"/>
        <w:jc w:val="both"/>
        <w:rPr>
          <w:rFonts w:ascii="Arial" w:hAnsi="Arial" w:cs="Arial"/>
          <w:sz w:val="22"/>
          <w:szCs w:val="22"/>
        </w:rPr>
      </w:pPr>
      <w:r w:rsidRPr="002E1244">
        <w:rPr>
          <w:rFonts w:ascii="Arial" w:hAnsi="Arial" w:cs="Arial"/>
          <w:sz w:val="22"/>
          <w:szCs w:val="22"/>
        </w:rPr>
        <w:t>In addition, i</w:t>
      </w:r>
      <w:r w:rsidR="006A1BAE" w:rsidRPr="002E1244">
        <w:rPr>
          <w:rFonts w:ascii="Arial" w:hAnsi="Arial" w:cs="Arial"/>
          <w:sz w:val="22"/>
          <w:szCs w:val="22"/>
        </w:rPr>
        <w:t xml:space="preserve">n our experience it is not unusual for </w:t>
      </w:r>
      <w:r w:rsidR="002B135C" w:rsidRPr="002E1244">
        <w:rPr>
          <w:rFonts w:ascii="Arial" w:hAnsi="Arial" w:cs="Arial"/>
          <w:sz w:val="22"/>
          <w:szCs w:val="22"/>
        </w:rPr>
        <w:t xml:space="preserve">a </w:t>
      </w:r>
      <w:r w:rsidR="006A1BAE" w:rsidRPr="002E1244">
        <w:rPr>
          <w:rFonts w:ascii="Arial" w:hAnsi="Arial" w:cs="Arial"/>
          <w:sz w:val="22"/>
          <w:szCs w:val="22"/>
        </w:rPr>
        <w:t>PDS to refer to the same topic at different points in the PDS (for example, a discussion about the coverage of a particular event is discussed in one section, and the discussion about exclusions from that coverage in another).  This increases the likelihood that</w:t>
      </w:r>
      <w:r w:rsidRPr="002E1244">
        <w:rPr>
          <w:rFonts w:ascii="Arial" w:hAnsi="Arial" w:cs="Arial"/>
          <w:sz w:val="22"/>
          <w:szCs w:val="22"/>
        </w:rPr>
        <w:t xml:space="preserve"> a</w:t>
      </w:r>
      <w:r w:rsidR="006A1BAE" w:rsidRPr="002E1244">
        <w:rPr>
          <w:rFonts w:ascii="Arial" w:hAnsi="Arial" w:cs="Arial"/>
          <w:sz w:val="22"/>
          <w:szCs w:val="22"/>
        </w:rPr>
        <w:t xml:space="preserve"> customer </w:t>
      </w:r>
      <w:r w:rsidRPr="002E1244">
        <w:rPr>
          <w:rFonts w:ascii="Arial" w:hAnsi="Arial" w:cs="Arial"/>
          <w:sz w:val="22"/>
          <w:szCs w:val="22"/>
        </w:rPr>
        <w:t>looking for particular details of their cover will receive an incomplete picture.</w:t>
      </w:r>
      <w:r w:rsidR="006A1BAE" w:rsidRPr="002E1244">
        <w:rPr>
          <w:rFonts w:ascii="Arial" w:hAnsi="Arial" w:cs="Arial"/>
          <w:sz w:val="22"/>
          <w:szCs w:val="22"/>
        </w:rPr>
        <w:t xml:space="preserve"> </w:t>
      </w:r>
      <w:r w:rsidRPr="002E1244">
        <w:rPr>
          <w:rFonts w:ascii="Arial" w:hAnsi="Arial" w:cs="Arial"/>
          <w:sz w:val="22"/>
          <w:szCs w:val="22"/>
        </w:rPr>
        <w:t xml:space="preserve"> </w:t>
      </w:r>
      <w:r w:rsidR="006A1BAE" w:rsidRPr="002E1244">
        <w:rPr>
          <w:rFonts w:ascii="Arial" w:hAnsi="Arial" w:cs="Arial"/>
          <w:sz w:val="22"/>
          <w:szCs w:val="22"/>
        </w:rPr>
        <w:t xml:space="preserve">Referring the consumer to all relevant paragraphs will make it more likely the consumer will </w:t>
      </w:r>
      <w:r w:rsidR="002B135C" w:rsidRPr="002E1244">
        <w:rPr>
          <w:rFonts w:ascii="Arial" w:hAnsi="Arial" w:cs="Arial"/>
          <w:sz w:val="22"/>
          <w:szCs w:val="22"/>
        </w:rPr>
        <w:t xml:space="preserve">read all relevant parts and </w:t>
      </w:r>
      <w:r w:rsidRPr="002E1244">
        <w:rPr>
          <w:rFonts w:ascii="Arial" w:hAnsi="Arial" w:cs="Arial"/>
          <w:sz w:val="22"/>
          <w:szCs w:val="22"/>
        </w:rPr>
        <w:t>properly</w:t>
      </w:r>
      <w:r w:rsidR="006A1BAE" w:rsidRPr="002E1244">
        <w:rPr>
          <w:rFonts w:ascii="Arial" w:hAnsi="Arial" w:cs="Arial"/>
          <w:sz w:val="22"/>
          <w:szCs w:val="22"/>
        </w:rPr>
        <w:t xml:space="preserve"> understand </w:t>
      </w:r>
      <w:r w:rsidRPr="002E1244">
        <w:rPr>
          <w:rFonts w:ascii="Arial" w:hAnsi="Arial" w:cs="Arial"/>
          <w:sz w:val="22"/>
          <w:szCs w:val="22"/>
        </w:rPr>
        <w:t>their policy.</w:t>
      </w:r>
    </w:p>
    <w:p w:rsidR="002E1244" w:rsidRPr="002E1244" w:rsidRDefault="002E1244" w:rsidP="002E1244">
      <w:pPr>
        <w:spacing w:line="276" w:lineRule="auto"/>
        <w:ind w:right="-96"/>
        <w:jc w:val="both"/>
        <w:rPr>
          <w:rFonts w:ascii="Arial" w:hAnsi="Arial" w:cs="Arial"/>
          <w:sz w:val="22"/>
          <w:szCs w:val="22"/>
        </w:rPr>
      </w:pPr>
    </w:p>
    <w:p w:rsidR="00C11A5F" w:rsidRPr="00501161" w:rsidRDefault="00C11A5F" w:rsidP="00F80440">
      <w:pPr>
        <w:pStyle w:val="BoxText"/>
        <w:rPr>
          <w:rFonts w:ascii="Arial" w:hAnsi="Arial" w:cs="Arial"/>
          <w:i/>
          <w:szCs w:val="22"/>
        </w:rPr>
      </w:pPr>
      <w:r w:rsidRPr="00501161">
        <w:rPr>
          <w:rFonts w:ascii="Arial" w:hAnsi="Arial" w:cs="Arial"/>
          <w:i/>
          <w:szCs w:val="22"/>
        </w:rPr>
        <w:t xml:space="preserve">Are </w:t>
      </w:r>
      <w:r w:rsidR="00842239" w:rsidRPr="00501161">
        <w:rPr>
          <w:rFonts w:ascii="Arial" w:hAnsi="Arial" w:cs="Arial"/>
          <w:i/>
          <w:szCs w:val="22"/>
        </w:rPr>
        <w:t>the [matters described at paragraph 76]</w:t>
      </w:r>
      <w:r w:rsidRPr="00501161">
        <w:rPr>
          <w:rFonts w:ascii="Arial" w:hAnsi="Arial" w:cs="Arial"/>
          <w:i/>
          <w:szCs w:val="22"/>
        </w:rPr>
        <w:t xml:space="preserve"> suitable to prescribe for inclusion on a generic reverse side?</w:t>
      </w:r>
    </w:p>
    <w:p w:rsidR="004B120E" w:rsidRDefault="00BA57A4" w:rsidP="002E1244">
      <w:pPr>
        <w:spacing w:line="276" w:lineRule="auto"/>
        <w:ind w:right="-96"/>
        <w:jc w:val="both"/>
        <w:rPr>
          <w:rFonts w:ascii="Arial" w:hAnsi="Arial" w:cs="Arial"/>
          <w:sz w:val="22"/>
          <w:szCs w:val="22"/>
        </w:rPr>
      </w:pPr>
      <w:r w:rsidRPr="002E1244">
        <w:rPr>
          <w:rFonts w:ascii="Arial" w:hAnsi="Arial" w:cs="Arial"/>
          <w:sz w:val="22"/>
          <w:szCs w:val="22"/>
        </w:rPr>
        <w:t xml:space="preserve">Each of the matters described at paragraph 76 </w:t>
      </w:r>
      <w:r w:rsidR="00CF2980" w:rsidRPr="002E1244">
        <w:rPr>
          <w:rFonts w:ascii="Arial" w:hAnsi="Arial" w:cs="Arial"/>
          <w:sz w:val="22"/>
          <w:szCs w:val="22"/>
        </w:rPr>
        <w:t>is potentially important information for consumers considering the purchase of a home insurance policy.</w:t>
      </w:r>
    </w:p>
    <w:p w:rsidR="002E1244" w:rsidRPr="002E1244" w:rsidRDefault="002E1244" w:rsidP="002E1244">
      <w:pPr>
        <w:spacing w:line="276" w:lineRule="auto"/>
        <w:ind w:right="-96"/>
        <w:jc w:val="both"/>
        <w:rPr>
          <w:rFonts w:ascii="Arial" w:hAnsi="Arial" w:cs="Arial"/>
          <w:sz w:val="22"/>
          <w:szCs w:val="22"/>
        </w:rPr>
      </w:pPr>
    </w:p>
    <w:p w:rsidR="004B120E" w:rsidRDefault="00E52097" w:rsidP="002E1244">
      <w:pPr>
        <w:spacing w:line="276" w:lineRule="auto"/>
        <w:ind w:right="-96"/>
        <w:jc w:val="both"/>
        <w:rPr>
          <w:rFonts w:ascii="Arial" w:hAnsi="Arial" w:cs="Arial"/>
          <w:sz w:val="22"/>
          <w:szCs w:val="22"/>
        </w:rPr>
      </w:pPr>
      <w:r w:rsidRPr="002E1244">
        <w:rPr>
          <w:rFonts w:ascii="Arial" w:hAnsi="Arial" w:cs="Arial"/>
          <w:sz w:val="22"/>
          <w:szCs w:val="22"/>
        </w:rPr>
        <w:t xml:space="preserve">However, </w:t>
      </w:r>
      <w:r w:rsidR="00CF2980" w:rsidRPr="002E1244">
        <w:rPr>
          <w:rFonts w:ascii="Arial" w:hAnsi="Arial" w:cs="Arial"/>
          <w:sz w:val="22"/>
          <w:szCs w:val="22"/>
        </w:rPr>
        <w:t>we simply do not believe that a reverse side of key facts statements is likely to be noticed, read or used by th</w:t>
      </w:r>
      <w:r w:rsidR="004B120E" w:rsidRPr="002E1244">
        <w:rPr>
          <w:rFonts w:ascii="Arial" w:hAnsi="Arial" w:cs="Arial"/>
          <w:sz w:val="22"/>
          <w:szCs w:val="22"/>
        </w:rPr>
        <w:t xml:space="preserve">e large majority of consumers, particularly if it merely contains generic information found on all statements - this information will become like "white noise", ignored by consumers.  Consumer testing may reveal otherwise, however, until such proof emerges we suggest it is much safer to use the assumption that consumers will not pay much attention to a generic reverse side. </w:t>
      </w:r>
    </w:p>
    <w:p w:rsidR="002E1244" w:rsidRPr="002E1244" w:rsidRDefault="002E1244" w:rsidP="002E1244">
      <w:pPr>
        <w:spacing w:line="276" w:lineRule="auto"/>
        <w:ind w:right="-96"/>
        <w:jc w:val="both"/>
        <w:rPr>
          <w:rFonts w:ascii="Arial" w:hAnsi="Arial" w:cs="Arial"/>
          <w:sz w:val="22"/>
          <w:szCs w:val="22"/>
        </w:rPr>
      </w:pPr>
    </w:p>
    <w:p w:rsidR="00CF2980" w:rsidRDefault="00E52097" w:rsidP="002E1244">
      <w:pPr>
        <w:spacing w:line="276" w:lineRule="auto"/>
        <w:ind w:right="-96"/>
        <w:jc w:val="both"/>
        <w:rPr>
          <w:rFonts w:ascii="Arial" w:hAnsi="Arial" w:cs="Arial"/>
          <w:sz w:val="22"/>
          <w:szCs w:val="22"/>
        </w:rPr>
      </w:pPr>
      <w:r w:rsidRPr="002E1244">
        <w:rPr>
          <w:rFonts w:ascii="Arial" w:hAnsi="Arial" w:cs="Arial"/>
          <w:sz w:val="22"/>
          <w:szCs w:val="22"/>
        </w:rPr>
        <w:t>If the decision is made to include generic information on the reverse of the statement, w</w:t>
      </w:r>
      <w:r w:rsidR="004B120E" w:rsidRPr="002E1244">
        <w:rPr>
          <w:rFonts w:ascii="Arial" w:hAnsi="Arial" w:cs="Arial"/>
          <w:sz w:val="22"/>
          <w:szCs w:val="22"/>
        </w:rPr>
        <w:t>e recommend that an assessment should be made about how important the matters at paragraph 76 (or any other matters) are for inclusion</w:t>
      </w:r>
      <w:r w:rsidR="00394754" w:rsidRPr="002E1244">
        <w:rPr>
          <w:rFonts w:ascii="Arial" w:hAnsi="Arial" w:cs="Arial"/>
          <w:sz w:val="22"/>
          <w:szCs w:val="22"/>
        </w:rPr>
        <w:t>.</w:t>
      </w:r>
      <w:r w:rsidR="004B120E" w:rsidRPr="002E1244">
        <w:rPr>
          <w:rFonts w:ascii="Arial" w:hAnsi="Arial" w:cs="Arial"/>
          <w:sz w:val="22"/>
          <w:szCs w:val="22"/>
        </w:rPr>
        <w:t xml:space="preserve">  </w:t>
      </w:r>
      <w:r w:rsidR="00394754" w:rsidRPr="002E1244">
        <w:rPr>
          <w:rFonts w:ascii="Arial" w:hAnsi="Arial" w:cs="Arial"/>
          <w:sz w:val="22"/>
          <w:szCs w:val="22"/>
        </w:rPr>
        <w:t>A</w:t>
      </w:r>
      <w:r w:rsidR="004B120E" w:rsidRPr="002E1244">
        <w:rPr>
          <w:rFonts w:ascii="Arial" w:hAnsi="Arial" w:cs="Arial"/>
          <w:sz w:val="22"/>
          <w:szCs w:val="22"/>
        </w:rPr>
        <w:t xml:space="preserve">ny matters </w:t>
      </w:r>
      <w:r w:rsidR="00394754" w:rsidRPr="002E1244">
        <w:rPr>
          <w:rFonts w:ascii="Arial" w:hAnsi="Arial" w:cs="Arial"/>
          <w:sz w:val="22"/>
          <w:szCs w:val="22"/>
        </w:rPr>
        <w:t xml:space="preserve">that are considered </w:t>
      </w:r>
      <w:r w:rsidR="00D14754" w:rsidRPr="002E1244">
        <w:rPr>
          <w:rFonts w:ascii="Arial" w:hAnsi="Arial" w:cs="Arial"/>
          <w:sz w:val="22"/>
          <w:szCs w:val="22"/>
        </w:rPr>
        <w:t xml:space="preserve">critical for the key facts statements </w:t>
      </w:r>
      <w:r w:rsidR="00394754" w:rsidRPr="002E1244">
        <w:rPr>
          <w:rFonts w:ascii="Arial" w:hAnsi="Arial" w:cs="Arial"/>
          <w:sz w:val="22"/>
          <w:szCs w:val="22"/>
        </w:rPr>
        <w:t xml:space="preserve">should be included </w:t>
      </w:r>
      <w:r w:rsidR="00D14754" w:rsidRPr="002E1244">
        <w:rPr>
          <w:rFonts w:ascii="Arial" w:hAnsi="Arial" w:cs="Arial"/>
          <w:sz w:val="22"/>
          <w:szCs w:val="22"/>
        </w:rPr>
        <w:t xml:space="preserve">on the front page in relevant places and </w:t>
      </w:r>
      <w:r w:rsidR="00394754" w:rsidRPr="002E1244">
        <w:rPr>
          <w:rFonts w:ascii="Arial" w:hAnsi="Arial" w:cs="Arial"/>
          <w:sz w:val="22"/>
          <w:szCs w:val="22"/>
        </w:rPr>
        <w:t xml:space="preserve">in a way that </w:t>
      </w:r>
      <w:r w:rsidR="00394754" w:rsidRPr="002E1244">
        <w:rPr>
          <w:rFonts w:ascii="Arial" w:hAnsi="Arial" w:cs="Arial"/>
          <w:sz w:val="22"/>
          <w:szCs w:val="22"/>
        </w:rPr>
        <w:lastRenderedPageBreak/>
        <w:t>enhances</w:t>
      </w:r>
      <w:r w:rsidR="00D14754" w:rsidRPr="002E1244">
        <w:rPr>
          <w:rFonts w:ascii="Arial" w:hAnsi="Arial" w:cs="Arial"/>
          <w:sz w:val="22"/>
          <w:szCs w:val="22"/>
        </w:rPr>
        <w:t>,</w:t>
      </w:r>
      <w:r w:rsidR="00394754" w:rsidRPr="002E1244">
        <w:rPr>
          <w:rFonts w:ascii="Arial" w:hAnsi="Arial" w:cs="Arial"/>
          <w:sz w:val="22"/>
          <w:szCs w:val="22"/>
        </w:rPr>
        <w:t xml:space="preserve"> rather than detracts from</w:t>
      </w:r>
      <w:r w:rsidR="00D14754" w:rsidRPr="002E1244">
        <w:rPr>
          <w:rFonts w:ascii="Arial" w:hAnsi="Arial" w:cs="Arial"/>
          <w:sz w:val="22"/>
          <w:szCs w:val="22"/>
        </w:rPr>
        <w:t>,</w:t>
      </w:r>
      <w:r w:rsidR="00394754" w:rsidRPr="002E1244">
        <w:rPr>
          <w:rFonts w:ascii="Arial" w:hAnsi="Arial" w:cs="Arial"/>
          <w:sz w:val="22"/>
          <w:szCs w:val="22"/>
        </w:rPr>
        <w:t xml:space="preserve"> the </w:t>
      </w:r>
      <w:r w:rsidR="00D14754" w:rsidRPr="002E1244">
        <w:rPr>
          <w:rFonts w:ascii="Arial" w:hAnsi="Arial" w:cs="Arial"/>
          <w:sz w:val="22"/>
          <w:szCs w:val="22"/>
        </w:rPr>
        <w:t xml:space="preserve">comprehensibility and usability of the </w:t>
      </w:r>
      <w:r w:rsidR="00394754" w:rsidRPr="002E1244">
        <w:rPr>
          <w:rFonts w:ascii="Arial" w:hAnsi="Arial" w:cs="Arial"/>
          <w:sz w:val="22"/>
          <w:szCs w:val="22"/>
        </w:rPr>
        <w:t>statements.</w:t>
      </w:r>
      <w:r w:rsidR="00D14754" w:rsidRPr="002E1244">
        <w:rPr>
          <w:rFonts w:ascii="Arial" w:hAnsi="Arial" w:cs="Arial"/>
          <w:sz w:val="22"/>
          <w:szCs w:val="22"/>
        </w:rPr>
        <w:t xml:space="preserve">  Other</w:t>
      </w:r>
      <w:r w:rsidR="008916C6" w:rsidRPr="002E1244">
        <w:rPr>
          <w:rFonts w:ascii="Arial" w:hAnsi="Arial" w:cs="Arial"/>
          <w:sz w:val="22"/>
          <w:szCs w:val="22"/>
        </w:rPr>
        <w:t xml:space="preserve"> less important elements can be included on the reverse.</w:t>
      </w:r>
    </w:p>
    <w:p w:rsidR="002E1244" w:rsidRPr="002E1244" w:rsidRDefault="002E1244" w:rsidP="002E1244">
      <w:pPr>
        <w:spacing w:line="276" w:lineRule="auto"/>
        <w:ind w:right="-96"/>
        <w:jc w:val="both"/>
        <w:rPr>
          <w:rFonts w:ascii="Arial" w:hAnsi="Arial" w:cs="Arial"/>
          <w:sz w:val="22"/>
          <w:szCs w:val="22"/>
        </w:rPr>
      </w:pPr>
    </w:p>
    <w:p w:rsidR="00BA57A4" w:rsidRDefault="00BA57A4" w:rsidP="002E1244">
      <w:pPr>
        <w:spacing w:line="276" w:lineRule="auto"/>
        <w:ind w:right="-96"/>
        <w:jc w:val="both"/>
        <w:rPr>
          <w:rFonts w:ascii="Arial" w:hAnsi="Arial" w:cs="Arial"/>
          <w:sz w:val="22"/>
          <w:szCs w:val="22"/>
        </w:rPr>
      </w:pPr>
      <w:r w:rsidRPr="002E1244">
        <w:rPr>
          <w:rFonts w:ascii="Arial" w:hAnsi="Arial" w:cs="Arial"/>
          <w:sz w:val="22"/>
          <w:szCs w:val="22"/>
        </w:rPr>
        <w:t xml:space="preserve">Some specific comments </w:t>
      </w:r>
      <w:r w:rsidR="00924E5E" w:rsidRPr="002E1244">
        <w:rPr>
          <w:rFonts w:ascii="Arial" w:hAnsi="Arial" w:cs="Arial"/>
          <w:sz w:val="22"/>
          <w:szCs w:val="22"/>
        </w:rPr>
        <w:t xml:space="preserve">on some of the matters listed </w:t>
      </w:r>
      <w:r w:rsidR="008916C6" w:rsidRPr="002E1244">
        <w:rPr>
          <w:rFonts w:ascii="Arial" w:hAnsi="Arial" w:cs="Arial"/>
          <w:sz w:val="22"/>
          <w:szCs w:val="22"/>
        </w:rPr>
        <w:t xml:space="preserve">at paragraph 76 </w:t>
      </w:r>
      <w:r w:rsidRPr="002E1244">
        <w:rPr>
          <w:rFonts w:ascii="Arial" w:hAnsi="Arial" w:cs="Arial"/>
          <w:sz w:val="22"/>
          <w:szCs w:val="22"/>
        </w:rPr>
        <w:t>are below.</w:t>
      </w:r>
    </w:p>
    <w:p w:rsidR="002E1244" w:rsidRPr="002E1244" w:rsidRDefault="002E1244" w:rsidP="002E1244">
      <w:pPr>
        <w:spacing w:line="276" w:lineRule="auto"/>
        <w:ind w:right="-96"/>
        <w:jc w:val="both"/>
        <w:rPr>
          <w:rFonts w:ascii="Arial" w:hAnsi="Arial" w:cs="Arial"/>
          <w:sz w:val="22"/>
          <w:szCs w:val="22"/>
        </w:rPr>
      </w:pPr>
    </w:p>
    <w:p w:rsidR="00BA57A4" w:rsidRPr="00501161" w:rsidRDefault="00BA57A4" w:rsidP="00BA57A4">
      <w:pPr>
        <w:pStyle w:val="BoxText"/>
        <w:ind w:left="720"/>
        <w:rPr>
          <w:rFonts w:ascii="Arial" w:hAnsi="Arial" w:cs="Arial"/>
          <w:szCs w:val="22"/>
        </w:rPr>
      </w:pPr>
      <w:r w:rsidRPr="00501161">
        <w:rPr>
          <w:rFonts w:ascii="Arial" w:hAnsi="Arial" w:cs="Arial"/>
          <w:b/>
          <w:szCs w:val="22"/>
        </w:rPr>
        <w:t>Explanation of policy types:</w:t>
      </w:r>
      <w:r w:rsidRPr="00501161">
        <w:rPr>
          <w:rFonts w:ascii="Arial" w:hAnsi="Arial" w:cs="Arial"/>
          <w:szCs w:val="22"/>
        </w:rPr>
        <w:t xml:space="preserve"> </w:t>
      </w:r>
      <w:r w:rsidR="00924E5E" w:rsidRPr="00501161">
        <w:rPr>
          <w:rFonts w:ascii="Arial" w:hAnsi="Arial" w:cs="Arial"/>
          <w:szCs w:val="22"/>
        </w:rPr>
        <w:t xml:space="preserve"> As discussed in detail above, we recommend that a very brief description of each policy type be included in the 'policy type' section itself.  A slightly more detailed explanation could then be included at the 'covered amount' section, still on the front page. </w:t>
      </w:r>
      <w:r w:rsidRPr="00501161">
        <w:rPr>
          <w:rFonts w:ascii="Arial" w:hAnsi="Arial" w:cs="Arial"/>
          <w:szCs w:val="22"/>
        </w:rPr>
        <w:t>As well as explaining the different policy types, this statement should specifically encourage consumers to consider buying a total replacement policy.</w:t>
      </w:r>
    </w:p>
    <w:p w:rsidR="00924E5E" w:rsidRPr="00501161" w:rsidRDefault="00924E5E" w:rsidP="00BA57A4">
      <w:pPr>
        <w:pStyle w:val="BoxText"/>
        <w:ind w:left="720"/>
        <w:rPr>
          <w:rFonts w:ascii="Arial" w:hAnsi="Arial" w:cs="Arial"/>
          <w:szCs w:val="22"/>
        </w:rPr>
      </w:pPr>
      <w:r w:rsidRPr="00501161">
        <w:rPr>
          <w:rFonts w:ascii="Arial" w:hAnsi="Arial" w:cs="Arial"/>
          <w:b/>
          <w:szCs w:val="22"/>
        </w:rPr>
        <w:t>Statements encouraging consumers to consider carefully whether the policy adequately covers the risks that are faced by their property:</w:t>
      </w:r>
      <w:r w:rsidRPr="00501161">
        <w:rPr>
          <w:rFonts w:ascii="Arial" w:hAnsi="Arial" w:cs="Arial"/>
          <w:szCs w:val="22"/>
        </w:rPr>
        <w:t xml:space="preserve"> As discussed above, we note that if such a statement is to be included, it should be standardised and any risks listed should also be required to be listed in the what is covered and not covered table of the key facts statement, so that consumers can see whether the policy covers the risks being warned about.</w:t>
      </w:r>
    </w:p>
    <w:p w:rsidR="00BA57A4" w:rsidRPr="00501161" w:rsidRDefault="004E6EB8" w:rsidP="00BA57A4">
      <w:pPr>
        <w:pStyle w:val="BoxText"/>
        <w:ind w:left="720"/>
        <w:rPr>
          <w:rFonts w:ascii="Arial" w:hAnsi="Arial" w:cs="Arial"/>
          <w:szCs w:val="22"/>
        </w:rPr>
      </w:pPr>
      <w:r w:rsidRPr="00501161">
        <w:rPr>
          <w:rFonts w:ascii="Arial" w:hAnsi="Arial" w:cs="Arial"/>
          <w:b/>
          <w:szCs w:val="22"/>
        </w:rPr>
        <w:t>Statements encouraging consumers to consider other policies:</w:t>
      </w:r>
      <w:r w:rsidRPr="00501161">
        <w:rPr>
          <w:rFonts w:ascii="Arial" w:hAnsi="Arial" w:cs="Arial"/>
          <w:szCs w:val="22"/>
        </w:rPr>
        <w:t xml:space="preserve"> A statement encouraging consumers to </w:t>
      </w:r>
      <w:r w:rsidR="00924E5E" w:rsidRPr="00501161">
        <w:rPr>
          <w:rFonts w:ascii="Arial" w:hAnsi="Arial" w:cs="Arial"/>
          <w:szCs w:val="22"/>
        </w:rPr>
        <w:t xml:space="preserve">shop around and </w:t>
      </w:r>
      <w:r w:rsidRPr="00501161">
        <w:rPr>
          <w:rFonts w:ascii="Arial" w:hAnsi="Arial" w:cs="Arial"/>
          <w:szCs w:val="22"/>
        </w:rPr>
        <w:t xml:space="preserve">look over key facts </w:t>
      </w:r>
      <w:r w:rsidR="00924E5E" w:rsidRPr="00501161">
        <w:rPr>
          <w:rFonts w:ascii="Arial" w:hAnsi="Arial" w:cs="Arial"/>
          <w:szCs w:val="22"/>
        </w:rPr>
        <w:t>statements</w:t>
      </w:r>
      <w:r w:rsidRPr="00501161">
        <w:rPr>
          <w:rFonts w:ascii="Arial" w:hAnsi="Arial" w:cs="Arial"/>
          <w:szCs w:val="22"/>
        </w:rPr>
        <w:t xml:space="preserve"> from other insurers would be useful.  The Treasury's draft mortgage key facts sheet</w:t>
      </w:r>
      <w:r w:rsidRPr="00501161">
        <w:rPr>
          <w:rStyle w:val="FootnoteReference"/>
          <w:rFonts w:ascii="Arial" w:hAnsi="Arial" w:cs="Arial"/>
          <w:szCs w:val="22"/>
        </w:rPr>
        <w:footnoteReference w:id="14"/>
      </w:r>
      <w:r w:rsidRPr="00501161">
        <w:rPr>
          <w:rFonts w:ascii="Arial" w:hAnsi="Arial" w:cs="Arial"/>
          <w:szCs w:val="22"/>
        </w:rPr>
        <w:t xml:space="preserve"> is an example of how this could work.</w:t>
      </w:r>
    </w:p>
    <w:p w:rsidR="00C11A5F" w:rsidRPr="00501161" w:rsidRDefault="00C11A5F" w:rsidP="00F80440">
      <w:pPr>
        <w:pStyle w:val="BoxText"/>
        <w:rPr>
          <w:rFonts w:ascii="Arial" w:hAnsi="Arial" w:cs="Arial"/>
          <w:szCs w:val="22"/>
        </w:rPr>
      </w:pPr>
      <w:r w:rsidRPr="00501161">
        <w:rPr>
          <w:rFonts w:ascii="Arial" w:hAnsi="Arial" w:cs="Arial"/>
          <w:i/>
          <w:szCs w:val="22"/>
        </w:rPr>
        <w:t>What other matters could be mentioned as part of such generic information?</w:t>
      </w:r>
    </w:p>
    <w:p w:rsidR="0073585C" w:rsidRPr="00501161" w:rsidRDefault="008916C6" w:rsidP="008916C6">
      <w:pPr>
        <w:pStyle w:val="BoxText"/>
        <w:rPr>
          <w:rFonts w:ascii="Arial" w:hAnsi="Arial" w:cs="Arial"/>
          <w:szCs w:val="22"/>
        </w:rPr>
      </w:pPr>
      <w:r>
        <w:rPr>
          <w:rFonts w:ascii="Arial" w:hAnsi="Arial" w:cs="Arial"/>
          <w:szCs w:val="22"/>
        </w:rPr>
        <w:t xml:space="preserve">As discussed above, we advise against including too much generic information.  However, if the decision is made to include generic information on the reverse of the sheet, </w:t>
      </w:r>
      <w:r w:rsidR="0073585C" w:rsidRPr="00501161">
        <w:rPr>
          <w:rFonts w:ascii="Arial" w:hAnsi="Arial" w:cs="Arial"/>
          <w:szCs w:val="22"/>
        </w:rPr>
        <w:t xml:space="preserve">advice for how to make claims, how to </w:t>
      </w:r>
      <w:r w:rsidR="002F05A9" w:rsidRPr="00501161">
        <w:rPr>
          <w:rFonts w:ascii="Arial" w:hAnsi="Arial" w:cs="Arial"/>
          <w:szCs w:val="22"/>
        </w:rPr>
        <w:t xml:space="preserve">make a complaint or </w:t>
      </w:r>
      <w:r w:rsidR="0073585C" w:rsidRPr="00501161">
        <w:rPr>
          <w:rFonts w:ascii="Arial" w:hAnsi="Arial" w:cs="Arial"/>
          <w:szCs w:val="22"/>
        </w:rPr>
        <w:t>appeal a decision of the insurer</w:t>
      </w:r>
      <w:r>
        <w:rPr>
          <w:rFonts w:ascii="Arial" w:hAnsi="Arial" w:cs="Arial"/>
          <w:szCs w:val="22"/>
        </w:rPr>
        <w:t xml:space="preserve"> </w:t>
      </w:r>
      <w:r w:rsidR="002E1244">
        <w:rPr>
          <w:rFonts w:ascii="Arial" w:hAnsi="Arial" w:cs="Arial"/>
          <w:szCs w:val="22"/>
        </w:rPr>
        <w:t>sh</w:t>
      </w:r>
      <w:r>
        <w:rPr>
          <w:rFonts w:ascii="Arial" w:hAnsi="Arial" w:cs="Arial"/>
          <w:szCs w:val="22"/>
        </w:rPr>
        <w:t>ould be included</w:t>
      </w:r>
      <w:r w:rsidR="0073585C" w:rsidRPr="00501161">
        <w:rPr>
          <w:rFonts w:ascii="Arial" w:hAnsi="Arial" w:cs="Arial"/>
          <w:szCs w:val="22"/>
        </w:rPr>
        <w:t>.</w:t>
      </w:r>
      <w:r>
        <w:rPr>
          <w:rFonts w:ascii="Arial" w:hAnsi="Arial" w:cs="Arial"/>
          <w:szCs w:val="22"/>
        </w:rPr>
        <w:t xml:space="preserve">  This could address</w:t>
      </w:r>
      <w:r w:rsidR="0073585C" w:rsidRPr="00501161">
        <w:rPr>
          <w:rFonts w:ascii="Arial" w:hAnsi="Arial" w:cs="Arial"/>
          <w:szCs w:val="22"/>
        </w:rPr>
        <w:t>:</w:t>
      </w:r>
    </w:p>
    <w:p w:rsidR="00F80440" w:rsidRPr="00501161" w:rsidRDefault="008916C6" w:rsidP="0073585C">
      <w:pPr>
        <w:pStyle w:val="BoxText"/>
        <w:numPr>
          <w:ilvl w:val="0"/>
          <w:numId w:val="22"/>
        </w:numPr>
        <w:rPr>
          <w:rFonts w:ascii="Arial" w:hAnsi="Arial" w:cs="Arial"/>
          <w:szCs w:val="22"/>
        </w:rPr>
      </w:pPr>
      <w:r>
        <w:rPr>
          <w:rFonts w:ascii="Arial" w:hAnsi="Arial" w:cs="Arial"/>
          <w:szCs w:val="22"/>
        </w:rPr>
        <w:t>H</w:t>
      </w:r>
      <w:r w:rsidR="0073585C" w:rsidRPr="00501161">
        <w:rPr>
          <w:rFonts w:ascii="Arial" w:hAnsi="Arial" w:cs="Arial"/>
          <w:szCs w:val="22"/>
        </w:rPr>
        <w:t>ow a consumer can make a claim, state clearly that they can make a claim even if they are not sure whether their policy covers the event in question, and that their rights under the policy (for example, rights to appeal a decision or action of t</w:t>
      </w:r>
      <w:r w:rsidR="002F05A9" w:rsidRPr="00501161">
        <w:rPr>
          <w:rFonts w:ascii="Arial" w:hAnsi="Arial" w:cs="Arial"/>
          <w:szCs w:val="22"/>
        </w:rPr>
        <w:t xml:space="preserve">he insurer with relation to cover for an </w:t>
      </w:r>
      <w:r w:rsidR="0073585C" w:rsidRPr="00501161">
        <w:rPr>
          <w:rFonts w:ascii="Arial" w:hAnsi="Arial" w:cs="Arial"/>
          <w:szCs w:val="22"/>
        </w:rPr>
        <w:t xml:space="preserve">event) are not triggered until they do make a claim; </w:t>
      </w:r>
    </w:p>
    <w:p w:rsidR="0073585C" w:rsidRPr="00501161" w:rsidRDefault="0073585C" w:rsidP="0073585C">
      <w:pPr>
        <w:pStyle w:val="BoxText"/>
        <w:numPr>
          <w:ilvl w:val="0"/>
          <w:numId w:val="22"/>
        </w:numPr>
        <w:rPr>
          <w:rFonts w:ascii="Arial" w:hAnsi="Arial" w:cs="Arial"/>
          <w:szCs w:val="22"/>
        </w:rPr>
      </w:pPr>
      <w:r w:rsidRPr="00501161">
        <w:rPr>
          <w:rFonts w:ascii="Arial" w:hAnsi="Arial" w:cs="Arial"/>
          <w:szCs w:val="22"/>
        </w:rPr>
        <w:t>Explain their rights to appeal decisions made by the insurer through internal dispute resolution, which is free of charge; and</w:t>
      </w:r>
    </w:p>
    <w:p w:rsidR="00D86959" w:rsidRPr="00501161" w:rsidRDefault="0073585C" w:rsidP="00D86959">
      <w:pPr>
        <w:pStyle w:val="BoxText"/>
        <w:numPr>
          <w:ilvl w:val="0"/>
          <w:numId w:val="22"/>
        </w:numPr>
        <w:rPr>
          <w:rFonts w:ascii="Arial" w:hAnsi="Arial" w:cs="Arial"/>
          <w:szCs w:val="22"/>
        </w:rPr>
      </w:pPr>
      <w:r w:rsidRPr="00501161">
        <w:rPr>
          <w:rFonts w:ascii="Arial" w:hAnsi="Arial" w:cs="Arial"/>
          <w:szCs w:val="22"/>
        </w:rPr>
        <w:t xml:space="preserve">Explain that, if they are not satisfied with the outcome of the internal dispute resolution process, they can appeal to external dispute resolution service, which is free of charge.  The name and contact number of the relevant EDR scheme should be noted. </w:t>
      </w:r>
    </w:p>
    <w:p w:rsidR="00D86959" w:rsidRPr="00501161" w:rsidRDefault="00C11A5F" w:rsidP="00D86959">
      <w:pPr>
        <w:pStyle w:val="BoxText"/>
        <w:rPr>
          <w:rFonts w:ascii="Arial" w:hAnsi="Arial" w:cs="Arial"/>
          <w:i/>
          <w:szCs w:val="22"/>
        </w:rPr>
      </w:pPr>
      <w:r w:rsidRPr="00501161">
        <w:rPr>
          <w:rFonts w:ascii="Arial" w:hAnsi="Arial" w:cs="Arial"/>
          <w:i/>
          <w:szCs w:val="22"/>
        </w:rPr>
        <w:t>When should a key facts statement be required to be provided, including for telephone/internet sales?</w:t>
      </w:r>
    </w:p>
    <w:p w:rsidR="001D1312" w:rsidRPr="00501161" w:rsidRDefault="001D1312" w:rsidP="002E1244">
      <w:pPr>
        <w:pStyle w:val="BoxText"/>
        <w:rPr>
          <w:rFonts w:ascii="Arial" w:hAnsi="Arial" w:cs="Arial"/>
          <w:szCs w:val="22"/>
        </w:rPr>
      </w:pPr>
      <w:r w:rsidRPr="00501161">
        <w:rPr>
          <w:rFonts w:ascii="Arial" w:hAnsi="Arial" w:cs="Arial"/>
          <w:szCs w:val="22"/>
        </w:rPr>
        <w:t>In general, key facts statements should be available at all times to consumers who are sho</w:t>
      </w:r>
      <w:r w:rsidR="00E76CB7" w:rsidRPr="00501161">
        <w:rPr>
          <w:rFonts w:ascii="Arial" w:hAnsi="Arial" w:cs="Arial"/>
          <w:szCs w:val="22"/>
        </w:rPr>
        <w:t xml:space="preserve">pping around for a policy, </w:t>
      </w:r>
      <w:r w:rsidRPr="00501161">
        <w:rPr>
          <w:rFonts w:ascii="Arial" w:hAnsi="Arial" w:cs="Arial"/>
          <w:szCs w:val="22"/>
        </w:rPr>
        <w:t>not just to those consumers w</w:t>
      </w:r>
      <w:r w:rsidR="00E76CB7" w:rsidRPr="00501161">
        <w:rPr>
          <w:rFonts w:ascii="Arial" w:hAnsi="Arial" w:cs="Arial"/>
          <w:szCs w:val="22"/>
        </w:rPr>
        <w:t>ho formally approach an insurer</w:t>
      </w:r>
      <w:r w:rsidRPr="00501161">
        <w:rPr>
          <w:rFonts w:ascii="Arial" w:hAnsi="Arial" w:cs="Arial"/>
          <w:szCs w:val="22"/>
        </w:rPr>
        <w:t xml:space="preserve"> </w:t>
      </w:r>
      <w:r w:rsidR="00E76CB7" w:rsidRPr="00501161">
        <w:rPr>
          <w:rFonts w:ascii="Arial" w:hAnsi="Arial" w:cs="Arial"/>
          <w:szCs w:val="22"/>
        </w:rPr>
        <w:t>(</w:t>
      </w:r>
      <w:r w:rsidRPr="00501161">
        <w:rPr>
          <w:rFonts w:ascii="Arial" w:hAnsi="Arial" w:cs="Arial"/>
          <w:szCs w:val="22"/>
        </w:rPr>
        <w:t>for example to request a quote</w:t>
      </w:r>
      <w:r w:rsidR="00E76CB7" w:rsidRPr="00501161">
        <w:rPr>
          <w:rFonts w:ascii="Arial" w:hAnsi="Arial" w:cs="Arial"/>
          <w:szCs w:val="22"/>
        </w:rPr>
        <w:t>)</w:t>
      </w:r>
      <w:r w:rsidRPr="00501161">
        <w:rPr>
          <w:rFonts w:ascii="Arial" w:hAnsi="Arial" w:cs="Arial"/>
          <w:szCs w:val="22"/>
        </w:rPr>
        <w:t>.</w:t>
      </w:r>
      <w:r w:rsidR="00E76CB7" w:rsidRPr="00501161">
        <w:rPr>
          <w:rFonts w:ascii="Arial" w:hAnsi="Arial" w:cs="Arial"/>
          <w:szCs w:val="22"/>
        </w:rPr>
        <w:t xml:space="preserve">  This is to ensure statements can be used to compare different policies, not </w:t>
      </w:r>
      <w:r w:rsidR="00E76CB7" w:rsidRPr="00501161">
        <w:rPr>
          <w:rFonts w:ascii="Arial" w:hAnsi="Arial" w:cs="Arial"/>
          <w:szCs w:val="22"/>
        </w:rPr>
        <w:lastRenderedPageBreak/>
        <w:t>just to inform consumers about a policy they have already decided to buy.</w:t>
      </w:r>
      <w:r w:rsidR="002F05A9" w:rsidRPr="00501161">
        <w:rPr>
          <w:rFonts w:ascii="Arial" w:hAnsi="Arial" w:cs="Arial"/>
          <w:szCs w:val="22"/>
        </w:rPr>
        <w:t xml:space="preserve">  This will also ensure comparison websites can link to fact statements of different providers.</w:t>
      </w:r>
    </w:p>
    <w:p w:rsidR="002E1244" w:rsidRDefault="00B6378E" w:rsidP="002E1244">
      <w:pPr>
        <w:pStyle w:val="BoxText"/>
        <w:rPr>
          <w:rFonts w:ascii="Arial" w:hAnsi="Arial" w:cs="Arial"/>
          <w:szCs w:val="22"/>
        </w:rPr>
      </w:pPr>
      <w:r w:rsidRPr="00501161">
        <w:rPr>
          <w:rFonts w:ascii="Arial" w:hAnsi="Arial" w:cs="Arial"/>
          <w:szCs w:val="22"/>
        </w:rPr>
        <w:t xml:space="preserve">We do not see why key facts statements cannot be made available to consumers at all points mentioned at paragraph 78.  </w:t>
      </w:r>
      <w:r w:rsidR="00E76CB7" w:rsidRPr="00501161">
        <w:rPr>
          <w:rFonts w:ascii="Arial" w:hAnsi="Arial" w:cs="Arial"/>
          <w:szCs w:val="22"/>
        </w:rPr>
        <w:t xml:space="preserve">At a minimum, insurers should </w:t>
      </w:r>
      <w:r w:rsidR="00806D23" w:rsidRPr="00501161">
        <w:rPr>
          <w:rFonts w:ascii="Arial" w:hAnsi="Arial" w:cs="Arial"/>
          <w:szCs w:val="22"/>
        </w:rPr>
        <w:t>be required proactively to provide the key facts statement when a consumer is obtaining a quote - whether written or online.  However, we also believe the statements should be clearly accessible on insurer websites at the pages where consumers are reading about the policies, before they go through the quote process.</w:t>
      </w:r>
    </w:p>
    <w:p w:rsidR="002E1244" w:rsidRDefault="00806D23" w:rsidP="002E1244">
      <w:pPr>
        <w:pStyle w:val="BoxText"/>
        <w:rPr>
          <w:rFonts w:ascii="Arial" w:hAnsi="Arial" w:cs="Arial"/>
          <w:szCs w:val="22"/>
        </w:rPr>
      </w:pPr>
      <w:r w:rsidRPr="00501161">
        <w:rPr>
          <w:rFonts w:ascii="Arial" w:hAnsi="Arial" w:cs="Arial"/>
          <w:szCs w:val="22"/>
        </w:rPr>
        <w:t xml:space="preserve">We also suggest insurers be required to </w:t>
      </w:r>
      <w:r w:rsidR="00E76CB7" w:rsidRPr="00501161">
        <w:rPr>
          <w:rFonts w:ascii="Arial" w:hAnsi="Arial" w:cs="Arial"/>
          <w:szCs w:val="22"/>
        </w:rPr>
        <w:t>advise consumers to look at releva</w:t>
      </w:r>
      <w:r w:rsidR="00B6378E" w:rsidRPr="00501161">
        <w:rPr>
          <w:rFonts w:ascii="Arial" w:hAnsi="Arial" w:cs="Arial"/>
          <w:szCs w:val="22"/>
        </w:rPr>
        <w:t>nt key facts statements when</w:t>
      </w:r>
      <w:r w:rsidR="00E76CB7" w:rsidRPr="00501161">
        <w:rPr>
          <w:rFonts w:ascii="Arial" w:hAnsi="Arial" w:cs="Arial"/>
          <w:szCs w:val="22"/>
        </w:rPr>
        <w:t xml:space="preserve"> enqui</w:t>
      </w:r>
      <w:r w:rsidR="00B6378E" w:rsidRPr="00501161">
        <w:rPr>
          <w:rFonts w:ascii="Arial" w:hAnsi="Arial" w:cs="Arial"/>
          <w:szCs w:val="22"/>
        </w:rPr>
        <w:t>ries are made about insurance products</w:t>
      </w:r>
      <w:r w:rsidR="00E76CB7" w:rsidRPr="00501161">
        <w:rPr>
          <w:rFonts w:ascii="Arial" w:hAnsi="Arial" w:cs="Arial"/>
          <w:szCs w:val="22"/>
        </w:rPr>
        <w:t xml:space="preserve">, </w:t>
      </w:r>
      <w:r w:rsidR="00B6378E" w:rsidRPr="00501161">
        <w:rPr>
          <w:rFonts w:ascii="Arial" w:hAnsi="Arial" w:cs="Arial"/>
          <w:szCs w:val="22"/>
        </w:rPr>
        <w:t xml:space="preserve">and advise where the statement can be found or offer to send them a copy.  Key facts sheets should also accompany any PDS </w:t>
      </w:r>
      <w:r w:rsidR="001D1312" w:rsidRPr="00501161">
        <w:rPr>
          <w:rFonts w:ascii="Arial" w:hAnsi="Arial" w:cs="Arial"/>
          <w:szCs w:val="22"/>
        </w:rPr>
        <w:t>sent to a</w:t>
      </w:r>
      <w:r w:rsidR="00B6378E" w:rsidRPr="00501161">
        <w:rPr>
          <w:rFonts w:ascii="Arial" w:hAnsi="Arial" w:cs="Arial"/>
          <w:szCs w:val="22"/>
        </w:rPr>
        <w:t xml:space="preserve"> consumer</w:t>
      </w:r>
      <w:r w:rsidRPr="00501161">
        <w:rPr>
          <w:rFonts w:ascii="Arial" w:hAnsi="Arial" w:cs="Arial"/>
          <w:szCs w:val="22"/>
        </w:rPr>
        <w:t xml:space="preserve">, but it is much more important that </w:t>
      </w:r>
      <w:r w:rsidR="00B90BC6" w:rsidRPr="00501161">
        <w:rPr>
          <w:rFonts w:ascii="Arial" w:hAnsi="Arial" w:cs="Arial"/>
          <w:szCs w:val="22"/>
        </w:rPr>
        <w:t xml:space="preserve">key facts statements </w:t>
      </w:r>
      <w:r w:rsidRPr="00501161">
        <w:rPr>
          <w:rFonts w:ascii="Arial" w:hAnsi="Arial" w:cs="Arial"/>
          <w:szCs w:val="22"/>
        </w:rPr>
        <w:t xml:space="preserve">are </w:t>
      </w:r>
      <w:r w:rsidR="00B90BC6" w:rsidRPr="00501161">
        <w:rPr>
          <w:rFonts w:ascii="Arial" w:hAnsi="Arial" w:cs="Arial"/>
          <w:szCs w:val="22"/>
        </w:rPr>
        <w:t xml:space="preserve">also </w:t>
      </w:r>
      <w:r w:rsidR="000D2401" w:rsidRPr="00501161">
        <w:rPr>
          <w:rFonts w:ascii="Arial" w:hAnsi="Arial" w:cs="Arial"/>
          <w:szCs w:val="22"/>
        </w:rPr>
        <w:t>provided earlier in the process</w:t>
      </w:r>
      <w:r w:rsidR="00E76CB7" w:rsidRPr="00501161">
        <w:rPr>
          <w:rFonts w:ascii="Arial" w:hAnsi="Arial" w:cs="Arial"/>
          <w:szCs w:val="22"/>
        </w:rPr>
        <w:t>.</w:t>
      </w:r>
    </w:p>
    <w:p w:rsidR="000D2401" w:rsidRPr="00501161" w:rsidRDefault="000D2401" w:rsidP="002E1244">
      <w:pPr>
        <w:pStyle w:val="BoxText"/>
        <w:rPr>
          <w:rFonts w:ascii="Arial" w:hAnsi="Arial" w:cs="Arial"/>
          <w:szCs w:val="22"/>
        </w:rPr>
      </w:pPr>
      <w:r w:rsidRPr="00501161">
        <w:rPr>
          <w:rFonts w:ascii="Arial" w:hAnsi="Arial" w:cs="Arial"/>
          <w:szCs w:val="22"/>
        </w:rPr>
        <w:t>As they would be standard documents and easy to supply, we also strongly support key facts statements accompanying renewal notices.  This would help to prompt consumers to consider whether their insurance policy continues to meet their needs before they simply renew the policy.</w:t>
      </w:r>
    </w:p>
    <w:p w:rsidR="00D86959" w:rsidRPr="00501161" w:rsidRDefault="00C11A5F" w:rsidP="00D86959">
      <w:pPr>
        <w:pStyle w:val="BoxText"/>
        <w:rPr>
          <w:rFonts w:ascii="Arial" w:hAnsi="Arial" w:cs="Arial"/>
          <w:szCs w:val="22"/>
        </w:rPr>
      </w:pPr>
      <w:r w:rsidRPr="00501161">
        <w:rPr>
          <w:rFonts w:ascii="Arial" w:hAnsi="Arial" w:cs="Arial"/>
          <w:i/>
          <w:szCs w:val="22"/>
        </w:rPr>
        <w:t>Could the document be incorporated into the PDS?  Should this be required?</w:t>
      </w:r>
    </w:p>
    <w:p w:rsidR="00D86959" w:rsidRPr="00501161" w:rsidRDefault="00D86959" w:rsidP="00FE359E">
      <w:pPr>
        <w:pStyle w:val="BoxText"/>
        <w:rPr>
          <w:rFonts w:ascii="Arial" w:hAnsi="Arial" w:cs="Arial"/>
          <w:szCs w:val="22"/>
        </w:rPr>
      </w:pPr>
      <w:r w:rsidRPr="00501161">
        <w:rPr>
          <w:rFonts w:ascii="Arial" w:hAnsi="Arial" w:cs="Arial"/>
          <w:szCs w:val="22"/>
        </w:rPr>
        <w:t xml:space="preserve">The key facts statement should </w:t>
      </w:r>
      <w:r w:rsidR="00BF63EC" w:rsidRPr="00501161">
        <w:rPr>
          <w:rFonts w:ascii="Arial" w:hAnsi="Arial" w:cs="Arial"/>
          <w:szCs w:val="22"/>
        </w:rPr>
        <w:t xml:space="preserve">not be incorporated into the PDS, although it </w:t>
      </w:r>
      <w:r w:rsidR="000D2401" w:rsidRPr="00501161">
        <w:rPr>
          <w:rFonts w:ascii="Arial" w:hAnsi="Arial" w:cs="Arial"/>
          <w:szCs w:val="22"/>
        </w:rPr>
        <w:t>c</w:t>
      </w:r>
      <w:r w:rsidR="00BF63EC" w:rsidRPr="00501161">
        <w:rPr>
          <w:rFonts w:ascii="Arial" w:hAnsi="Arial" w:cs="Arial"/>
          <w:szCs w:val="22"/>
        </w:rPr>
        <w:t xml:space="preserve">ould generally </w:t>
      </w:r>
      <w:r w:rsidRPr="00501161">
        <w:rPr>
          <w:rFonts w:ascii="Arial" w:hAnsi="Arial" w:cs="Arial"/>
          <w:szCs w:val="22"/>
        </w:rPr>
        <w:t xml:space="preserve">be provided </w:t>
      </w:r>
      <w:r w:rsidR="00BF63EC" w:rsidRPr="00501161">
        <w:rPr>
          <w:rFonts w:ascii="Arial" w:hAnsi="Arial" w:cs="Arial"/>
          <w:szCs w:val="22"/>
        </w:rPr>
        <w:t xml:space="preserve">alongside </w:t>
      </w:r>
      <w:r w:rsidRPr="00501161">
        <w:rPr>
          <w:rFonts w:ascii="Arial" w:hAnsi="Arial" w:cs="Arial"/>
          <w:szCs w:val="22"/>
        </w:rPr>
        <w:t xml:space="preserve">the PDS.  In our experience, many customers never even open their </w:t>
      </w:r>
      <w:r w:rsidR="00BF63EC" w:rsidRPr="00501161">
        <w:rPr>
          <w:rFonts w:ascii="Arial" w:hAnsi="Arial" w:cs="Arial"/>
          <w:szCs w:val="22"/>
        </w:rPr>
        <w:t>PDS, so an incorporated key facts statement will often be unseen by consumers.  I</w:t>
      </w:r>
      <w:r w:rsidRPr="00501161">
        <w:rPr>
          <w:rFonts w:ascii="Arial" w:hAnsi="Arial" w:cs="Arial"/>
          <w:szCs w:val="22"/>
        </w:rPr>
        <w:t xml:space="preserve">n addition, key facts statements should be available </w:t>
      </w:r>
      <w:r w:rsidR="00BF63EC" w:rsidRPr="00501161">
        <w:rPr>
          <w:rFonts w:ascii="Arial" w:hAnsi="Arial" w:cs="Arial"/>
          <w:szCs w:val="22"/>
        </w:rPr>
        <w:t>quickly and easily, including online.  Including facts sheets inside a PDS will make the facts sheet a larger document and so less accessible to consumers who wish to download, print and compare different policies at home.</w:t>
      </w:r>
    </w:p>
    <w:p w:rsidR="00C11A5F" w:rsidRPr="00501161" w:rsidRDefault="00C11A5F" w:rsidP="00D86959">
      <w:pPr>
        <w:pStyle w:val="BoxText"/>
        <w:rPr>
          <w:rFonts w:ascii="Arial" w:hAnsi="Arial" w:cs="Arial"/>
          <w:szCs w:val="22"/>
        </w:rPr>
      </w:pPr>
      <w:r w:rsidRPr="00501161">
        <w:rPr>
          <w:rFonts w:ascii="Arial" w:hAnsi="Arial" w:cs="Arial"/>
          <w:i/>
          <w:szCs w:val="22"/>
        </w:rPr>
        <w:t>What are the main advantages and disadvantages associated with the various options?</w:t>
      </w:r>
    </w:p>
    <w:p w:rsidR="00B6378E" w:rsidRPr="00501161" w:rsidRDefault="0066617B" w:rsidP="002B27EB">
      <w:pPr>
        <w:pStyle w:val="BoxText"/>
        <w:rPr>
          <w:rFonts w:ascii="Arial" w:hAnsi="Arial" w:cs="Arial"/>
          <w:szCs w:val="22"/>
        </w:rPr>
      </w:pPr>
      <w:r w:rsidRPr="00501161">
        <w:rPr>
          <w:rFonts w:ascii="Arial" w:hAnsi="Arial" w:cs="Arial"/>
          <w:szCs w:val="22"/>
        </w:rPr>
        <w:t xml:space="preserve">As discussed above, </w:t>
      </w:r>
      <w:r w:rsidR="00B6378E" w:rsidRPr="00501161">
        <w:rPr>
          <w:rFonts w:ascii="Arial" w:hAnsi="Arial" w:cs="Arial"/>
          <w:szCs w:val="22"/>
        </w:rPr>
        <w:t>we believe key facts statements should be avail</w:t>
      </w:r>
      <w:r w:rsidRPr="00501161">
        <w:rPr>
          <w:rFonts w:ascii="Arial" w:hAnsi="Arial" w:cs="Arial"/>
          <w:szCs w:val="22"/>
        </w:rPr>
        <w:t xml:space="preserve">able to consumers at all times.  </w:t>
      </w:r>
      <w:r w:rsidR="002F05A9" w:rsidRPr="00501161">
        <w:rPr>
          <w:rFonts w:ascii="Arial" w:hAnsi="Arial" w:cs="Arial"/>
          <w:szCs w:val="22"/>
        </w:rPr>
        <w:t xml:space="preserve">Advantages of </w:t>
      </w:r>
      <w:r w:rsidRPr="00501161">
        <w:rPr>
          <w:rFonts w:ascii="Arial" w:hAnsi="Arial" w:cs="Arial"/>
          <w:szCs w:val="22"/>
        </w:rPr>
        <w:t>providing key facts statements at the points mentioned in paragraph 78 are:</w:t>
      </w:r>
    </w:p>
    <w:p w:rsidR="00CB32E2" w:rsidRPr="00501161" w:rsidRDefault="00CB32E2" w:rsidP="00B6378E">
      <w:pPr>
        <w:spacing w:line="276" w:lineRule="auto"/>
        <w:ind w:left="720" w:right="-96"/>
        <w:jc w:val="both"/>
        <w:rPr>
          <w:rFonts w:ascii="Arial" w:hAnsi="Arial" w:cs="Arial"/>
          <w:sz w:val="22"/>
          <w:szCs w:val="22"/>
        </w:rPr>
      </w:pPr>
      <w:r w:rsidRPr="00501161">
        <w:rPr>
          <w:rFonts w:ascii="Arial" w:hAnsi="Arial" w:cs="Arial"/>
          <w:b/>
          <w:sz w:val="22"/>
          <w:szCs w:val="22"/>
        </w:rPr>
        <w:t>In conjunction with a written quote:</w:t>
      </w:r>
      <w:r w:rsidRPr="00501161">
        <w:rPr>
          <w:rFonts w:ascii="Arial" w:hAnsi="Arial" w:cs="Arial"/>
          <w:sz w:val="22"/>
          <w:szCs w:val="22"/>
        </w:rPr>
        <w:t xml:space="preserve"> A quote is virtually meaningless unless the consumer understands the features of the policy they are paying for, and both the insurance industry and consumer advocates </w:t>
      </w:r>
      <w:r w:rsidR="002F05A9" w:rsidRPr="00501161">
        <w:rPr>
          <w:rFonts w:ascii="Arial" w:hAnsi="Arial" w:cs="Arial"/>
          <w:sz w:val="22"/>
          <w:szCs w:val="22"/>
        </w:rPr>
        <w:t>regularly</w:t>
      </w:r>
      <w:r w:rsidRPr="00501161">
        <w:rPr>
          <w:rFonts w:ascii="Arial" w:hAnsi="Arial" w:cs="Arial"/>
          <w:sz w:val="22"/>
          <w:szCs w:val="22"/>
        </w:rPr>
        <w:t xml:space="preserve"> warn of the dangers of selecting insurance cover on the basis of price alone.  Providing key facts statements at this point will increase the likelihood that decisions are made on a more balanced understanding of the policy's merits.</w:t>
      </w:r>
    </w:p>
    <w:p w:rsidR="00CB32E2" w:rsidRPr="00501161" w:rsidRDefault="00CB32E2" w:rsidP="00B6378E">
      <w:pPr>
        <w:spacing w:line="276" w:lineRule="auto"/>
        <w:ind w:left="720" w:right="-96"/>
        <w:jc w:val="both"/>
        <w:rPr>
          <w:rFonts w:ascii="Arial" w:hAnsi="Arial" w:cs="Arial"/>
          <w:sz w:val="22"/>
          <w:szCs w:val="22"/>
        </w:rPr>
      </w:pPr>
    </w:p>
    <w:p w:rsidR="00CB32E2" w:rsidRPr="00501161" w:rsidRDefault="00CB32E2" w:rsidP="00B6378E">
      <w:pPr>
        <w:spacing w:line="276" w:lineRule="auto"/>
        <w:ind w:left="720" w:right="-96"/>
        <w:jc w:val="both"/>
        <w:rPr>
          <w:rFonts w:ascii="Arial" w:hAnsi="Arial" w:cs="Arial"/>
          <w:sz w:val="22"/>
          <w:szCs w:val="22"/>
        </w:rPr>
      </w:pPr>
      <w:r w:rsidRPr="00501161">
        <w:rPr>
          <w:rFonts w:ascii="Arial" w:hAnsi="Arial" w:cs="Arial"/>
          <w:b/>
          <w:sz w:val="22"/>
          <w:szCs w:val="22"/>
        </w:rPr>
        <w:t>During the cooling-off period:</w:t>
      </w:r>
      <w:r w:rsidRPr="00501161">
        <w:rPr>
          <w:rFonts w:ascii="Arial" w:hAnsi="Arial" w:cs="Arial"/>
          <w:sz w:val="22"/>
          <w:szCs w:val="22"/>
        </w:rPr>
        <w:t xml:space="preserve"> As above, the cooling-off period has little value unless consumers can use the period to consider whether the policy they have bought is right for them.  A key facts statement will help inform that consideration.</w:t>
      </w:r>
    </w:p>
    <w:p w:rsidR="00CB32E2" w:rsidRPr="00501161" w:rsidRDefault="00CB32E2" w:rsidP="00B6378E">
      <w:pPr>
        <w:spacing w:line="276" w:lineRule="auto"/>
        <w:ind w:left="720" w:right="-96"/>
        <w:jc w:val="both"/>
        <w:rPr>
          <w:rFonts w:ascii="Arial" w:hAnsi="Arial" w:cs="Arial"/>
          <w:b/>
          <w:sz w:val="22"/>
          <w:szCs w:val="22"/>
        </w:rPr>
      </w:pPr>
    </w:p>
    <w:p w:rsidR="00F8013C" w:rsidRPr="00501161" w:rsidRDefault="0066617B" w:rsidP="00B6378E">
      <w:pPr>
        <w:spacing w:line="276" w:lineRule="auto"/>
        <w:ind w:left="720" w:right="-96"/>
        <w:jc w:val="both"/>
        <w:rPr>
          <w:rFonts w:ascii="Arial" w:hAnsi="Arial" w:cs="Arial"/>
          <w:sz w:val="22"/>
          <w:szCs w:val="22"/>
        </w:rPr>
      </w:pPr>
      <w:r w:rsidRPr="00501161">
        <w:rPr>
          <w:rFonts w:ascii="Arial" w:hAnsi="Arial" w:cs="Arial"/>
          <w:b/>
          <w:sz w:val="22"/>
          <w:szCs w:val="22"/>
        </w:rPr>
        <w:t>With a renewal notice:</w:t>
      </w:r>
      <w:r w:rsidR="00E76CB7" w:rsidRPr="00501161">
        <w:rPr>
          <w:rFonts w:ascii="Arial" w:hAnsi="Arial" w:cs="Arial"/>
          <w:sz w:val="22"/>
          <w:szCs w:val="22"/>
        </w:rPr>
        <w:t xml:space="preserve"> this will be particularly important for consumers who have a </w:t>
      </w:r>
      <w:proofErr w:type="spellStart"/>
      <w:r w:rsidR="00E76CB7" w:rsidRPr="00501161">
        <w:rPr>
          <w:rFonts w:ascii="Arial" w:hAnsi="Arial" w:cs="Arial"/>
          <w:sz w:val="22"/>
          <w:szCs w:val="22"/>
        </w:rPr>
        <w:t>pre</w:t>
      </w:r>
      <w:r w:rsidR="00E76CB7" w:rsidRPr="00501161">
        <w:rPr>
          <w:rFonts w:ascii="Arial" w:hAnsi="Arial" w:cs="Arial"/>
          <w:sz w:val="22"/>
          <w:szCs w:val="22"/>
        </w:rPr>
        <w:noBreakHyphen/>
        <w:t>existing</w:t>
      </w:r>
      <w:proofErr w:type="spellEnd"/>
      <w:r w:rsidR="00E76CB7" w:rsidRPr="00501161">
        <w:rPr>
          <w:rFonts w:ascii="Arial" w:hAnsi="Arial" w:cs="Arial"/>
          <w:sz w:val="22"/>
          <w:szCs w:val="22"/>
        </w:rPr>
        <w:t xml:space="preserve"> insurance policy</w:t>
      </w:r>
      <w:r w:rsidR="00F8013C" w:rsidRPr="00501161">
        <w:rPr>
          <w:rFonts w:ascii="Arial" w:hAnsi="Arial" w:cs="Arial"/>
          <w:sz w:val="22"/>
          <w:szCs w:val="22"/>
        </w:rPr>
        <w:t xml:space="preserve">.  Many consumers will stay with the same policy for many years, at least partly because of inertia - choosing a different policy requires a considerable amount of time and effort.  Key facts statements will not prompt consumers to leave their current provider if their policy meets their needs, </w:t>
      </w:r>
      <w:r w:rsidR="002F05A9" w:rsidRPr="00501161">
        <w:rPr>
          <w:rFonts w:ascii="Arial" w:hAnsi="Arial" w:cs="Arial"/>
          <w:sz w:val="22"/>
          <w:szCs w:val="22"/>
        </w:rPr>
        <w:t xml:space="preserve">if nothing else </w:t>
      </w:r>
      <w:r w:rsidR="00F8013C" w:rsidRPr="00501161">
        <w:rPr>
          <w:rFonts w:ascii="Arial" w:hAnsi="Arial" w:cs="Arial"/>
          <w:sz w:val="22"/>
          <w:szCs w:val="22"/>
        </w:rPr>
        <w:t xml:space="preserve">because of </w:t>
      </w:r>
      <w:r w:rsidR="00F8013C" w:rsidRPr="00501161">
        <w:rPr>
          <w:rFonts w:ascii="Arial" w:hAnsi="Arial" w:cs="Arial"/>
          <w:sz w:val="22"/>
          <w:szCs w:val="22"/>
        </w:rPr>
        <w:lastRenderedPageBreak/>
        <w:t xml:space="preserve">the effort involved in </w:t>
      </w:r>
      <w:r w:rsidR="00CB32E2" w:rsidRPr="00501161">
        <w:rPr>
          <w:rFonts w:ascii="Arial" w:hAnsi="Arial" w:cs="Arial"/>
          <w:sz w:val="22"/>
          <w:szCs w:val="22"/>
        </w:rPr>
        <w:t xml:space="preserve">finding a new policy.  However if a policy does not meet the consumer's needs, the key facts statement will help bring this to </w:t>
      </w:r>
      <w:r w:rsidR="002F05A9" w:rsidRPr="00501161">
        <w:rPr>
          <w:rFonts w:ascii="Arial" w:hAnsi="Arial" w:cs="Arial"/>
          <w:sz w:val="22"/>
          <w:szCs w:val="22"/>
        </w:rPr>
        <w:t>the consumer's</w:t>
      </w:r>
      <w:r w:rsidR="00CB32E2" w:rsidRPr="00501161">
        <w:rPr>
          <w:rFonts w:ascii="Arial" w:hAnsi="Arial" w:cs="Arial"/>
          <w:sz w:val="22"/>
          <w:szCs w:val="22"/>
        </w:rPr>
        <w:t xml:space="preserve"> attention and assist them to find a better product.</w:t>
      </w:r>
    </w:p>
    <w:p w:rsidR="00C11A5F" w:rsidRPr="00501161" w:rsidRDefault="00C11A5F" w:rsidP="00CB32E2">
      <w:pPr>
        <w:spacing w:before="240"/>
        <w:rPr>
          <w:rFonts w:ascii="Arial" w:hAnsi="Arial" w:cs="Arial"/>
          <w:i/>
          <w:sz w:val="22"/>
          <w:szCs w:val="22"/>
        </w:rPr>
      </w:pPr>
      <w:r w:rsidRPr="00501161">
        <w:rPr>
          <w:rFonts w:ascii="Arial" w:hAnsi="Arial" w:cs="Arial"/>
          <w:i/>
          <w:sz w:val="22"/>
          <w:szCs w:val="22"/>
        </w:rPr>
        <w:t>What is the appropriate sanction/remedy if an insurer:</w:t>
      </w:r>
    </w:p>
    <w:p w:rsidR="00C11A5F" w:rsidRPr="00501161" w:rsidRDefault="00C11A5F" w:rsidP="00C11A5F">
      <w:pPr>
        <w:pStyle w:val="AlphaParagraph"/>
        <w:numPr>
          <w:ilvl w:val="0"/>
          <w:numId w:val="16"/>
        </w:numPr>
        <w:rPr>
          <w:rFonts w:ascii="Arial" w:hAnsi="Arial" w:cs="Arial"/>
          <w:i/>
          <w:szCs w:val="22"/>
        </w:rPr>
      </w:pPr>
      <w:r w:rsidRPr="00501161">
        <w:rPr>
          <w:rFonts w:ascii="Arial" w:hAnsi="Arial" w:cs="Arial"/>
          <w:i/>
          <w:szCs w:val="22"/>
        </w:rPr>
        <w:t>fails to provide the key facts statement at the appropriate time; or</w:t>
      </w:r>
    </w:p>
    <w:p w:rsidR="00C11A5F" w:rsidRPr="00501161" w:rsidRDefault="00C11A5F" w:rsidP="00C11A5F">
      <w:pPr>
        <w:pStyle w:val="AlphaParagraph"/>
        <w:numPr>
          <w:ilvl w:val="0"/>
          <w:numId w:val="16"/>
        </w:numPr>
        <w:rPr>
          <w:rFonts w:ascii="Arial" w:hAnsi="Arial" w:cs="Arial"/>
          <w:i/>
          <w:szCs w:val="22"/>
        </w:rPr>
      </w:pPr>
      <w:r w:rsidRPr="00501161">
        <w:rPr>
          <w:rFonts w:ascii="Arial" w:hAnsi="Arial" w:cs="Arial"/>
          <w:i/>
          <w:szCs w:val="22"/>
        </w:rPr>
        <w:t>provides a key facts statement which is non</w:t>
      </w:r>
      <w:r w:rsidRPr="00501161">
        <w:rPr>
          <w:rFonts w:ascii="Arial" w:hAnsi="Arial" w:cs="Arial"/>
          <w:i/>
          <w:szCs w:val="22"/>
        </w:rPr>
        <w:noBreakHyphen/>
        <w:t>compliant with the requirements</w:t>
      </w:r>
    </w:p>
    <w:p w:rsidR="00F80440" w:rsidRPr="00501161" w:rsidRDefault="002F05A9" w:rsidP="00772C1E">
      <w:pPr>
        <w:pStyle w:val="BoxText"/>
        <w:rPr>
          <w:rFonts w:ascii="Arial" w:hAnsi="Arial" w:cs="Arial"/>
          <w:szCs w:val="22"/>
        </w:rPr>
      </w:pPr>
      <w:r w:rsidRPr="00501161">
        <w:rPr>
          <w:rFonts w:ascii="Arial" w:hAnsi="Arial" w:cs="Arial"/>
          <w:szCs w:val="22"/>
        </w:rPr>
        <w:t xml:space="preserve">The sanctions and </w:t>
      </w:r>
      <w:r w:rsidR="00F80440" w:rsidRPr="00501161">
        <w:rPr>
          <w:rFonts w:ascii="Arial" w:hAnsi="Arial" w:cs="Arial"/>
          <w:szCs w:val="22"/>
        </w:rPr>
        <w:t xml:space="preserve">remedies should be </w:t>
      </w:r>
      <w:r w:rsidR="000D2401" w:rsidRPr="00501161">
        <w:rPr>
          <w:rFonts w:ascii="Arial" w:hAnsi="Arial" w:cs="Arial"/>
          <w:szCs w:val="22"/>
        </w:rPr>
        <w:t>similar to</w:t>
      </w:r>
      <w:r w:rsidR="00F80440" w:rsidRPr="00501161">
        <w:rPr>
          <w:rFonts w:ascii="Arial" w:hAnsi="Arial" w:cs="Arial"/>
          <w:szCs w:val="22"/>
        </w:rPr>
        <w:t xml:space="preserve"> those for failing to provide a PDS at required times or providing a non-compliant PDS.</w:t>
      </w:r>
      <w:r w:rsidR="000D2401" w:rsidRPr="00501161">
        <w:rPr>
          <w:rFonts w:ascii="Arial" w:hAnsi="Arial" w:cs="Arial"/>
          <w:szCs w:val="22"/>
        </w:rPr>
        <w:t xml:space="preserve">  </w:t>
      </w:r>
      <w:r w:rsidR="00B5657D">
        <w:rPr>
          <w:rFonts w:ascii="Arial" w:hAnsi="Arial" w:cs="Arial"/>
          <w:szCs w:val="22"/>
        </w:rPr>
        <w:t>T</w:t>
      </w:r>
      <w:r w:rsidR="000D2401" w:rsidRPr="00501161">
        <w:rPr>
          <w:rFonts w:ascii="Arial" w:hAnsi="Arial" w:cs="Arial"/>
          <w:szCs w:val="22"/>
        </w:rPr>
        <w:t>here are also key parts of the statement that should also have an impact on the cover itself.  We do not suggest that if a generic warning is incorrect in some manner, this should prevent an insurer from relying on exclusions in the policy.  However, in particular, if a prescribed event was incorrectly listed on the key facts statement as covered or was missing from the not covered section, this should affect whether the insurer is permitted to rely on an exclusion of that event in the policy.</w:t>
      </w:r>
    </w:p>
    <w:p w:rsidR="00C11A5F" w:rsidRPr="00501161" w:rsidRDefault="00C11A5F" w:rsidP="002F05A9">
      <w:pPr>
        <w:spacing w:after="240" w:line="276" w:lineRule="auto"/>
        <w:ind w:right="-96"/>
        <w:jc w:val="both"/>
        <w:rPr>
          <w:rFonts w:ascii="Arial" w:hAnsi="Arial" w:cs="Arial"/>
          <w:i/>
          <w:sz w:val="22"/>
          <w:szCs w:val="22"/>
        </w:rPr>
      </w:pPr>
      <w:r w:rsidRPr="00501161">
        <w:rPr>
          <w:rFonts w:ascii="Arial" w:hAnsi="Arial" w:cs="Arial"/>
          <w:i/>
          <w:sz w:val="22"/>
          <w:szCs w:val="22"/>
        </w:rPr>
        <w:t xml:space="preserve">Is there any need to clarify or prescribe the legal status of the key facts statement — in particular its relationship to the policy terms and conditions in the PDS?  </w:t>
      </w:r>
    </w:p>
    <w:p w:rsidR="00772C1E" w:rsidRDefault="002F05A9" w:rsidP="00B5657D">
      <w:pPr>
        <w:pStyle w:val="BoxText"/>
        <w:rPr>
          <w:rFonts w:ascii="Arial" w:hAnsi="Arial" w:cs="Arial"/>
          <w:i/>
          <w:szCs w:val="22"/>
        </w:rPr>
      </w:pPr>
      <w:r w:rsidRPr="00501161">
        <w:rPr>
          <w:rFonts w:ascii="Arial" w:hAnsi="Arial" w:cs="Arial"/>
          <w:szCs w:val="22"/>
        </w:rPr>
        <w:t xml:space="preserve">Yes.  </w:t>
      </w:r>
      <w:r w:rsidR="007545BF" w:rsidRPr="00501161">
        <w:rPr>
          <w:rFonts w:ascii="Arial" w:hAnsi="Arial" w:cs="Arial"/>
          <w:szCs w:val="22"/>
        </w:rPr>
        <w:t>We note that the 'How to use this statement' section on the front of the key facts statement covers some of this ground</w:t>
      </w:r>
      <w:r w:rsidR="003118A9" w:rsidRPr="00501161">
        <w:rPr>
          <w:rFonts w:ascii="Arial" w:hAnsi="Arial" w:cs="Arial"/>
          <w:szCs w:val="22"/>
        </w:rPr>
        <w:t>.</w:t>
      </w:r>
      <w:r w:rsidR="001E02AA" w:rsidRPr="00501161">
        <w:rPr>
          <w:rFonts w:ascii="Arial" w:hAnsi="Arial" w:cs="Arial"/>
          <w:szCs w:val="22"/>
        </w:rPr>
        <w:t xml:space="preserve">  </w:t>
      </w:r>
      <w:r w:rsidR="003118A9" w:rsidRPr="00501161">
        <w:rPr>
          <w:rFonts w:ascii="Arial" w:hAnsi="Arial" w:cs="Arial"/>
          <w:szCs w:val="22"/>
        </w:rPr>
        <w:t xml:space="preserve">This statement will need to include words to the effect that information on the statement is a summary only and </w:t>
      </w:r>
      <w:r w:rsidRPr="00501161">
        <w:rPr>
          <w:rFonts w:ascii="Arial" w:hAnsi="Arial" w:cs="Arial"/>
          <w:szCs w:val="22"/>
        </w:rPr>
        <w:t xml:space="preserve">consumers </w:t>
      </w:r>
      <w:r w:rsidR="003118A9" w:rsidRPr="00501161">
        <w:rPr>
          <w:rFonts w:ascii="Arial" w:hAnsi="Arial" w:cs="Arial"/>
          <w:szCs w:val="22"/>
        </w:rPr>
        <w:t>need to refer to their PDS for full details.  We reiterate that this kind of statement will only be effective if the front of the key facts statement refer</w:t>
      </w:r>
      <w:r w:rsidRPr="00501161">
        <w:rPr>
          <w:rFonts w:ascii="Arial" w:hAnsi="Arial" w:cs="Arial"/>
          <w:szCs w:val="22"/>
        </w:rPr>
        <w:t>s</w:t>
      </w:r>
      <w:r w:rsidR="003118A9" w:rsidRPr="00501161">
        <w:rPr>
          <w:rFonts w:ascii="Arial" w:hAnsi="Arial" w:cs="Arial"/>
          <w:szCs w:val="22"/>
        </w:rPr>
        <w:t xml:space="preserve"> consumers to specific paragraphs/pages of the PDS that relate to particular events and exclusions.</w:t>
      </w:r>
      <w:r w:rsidR="00B5657D">
        <w:rPr>
          <w:rFonts w:ascii="Arial" w:hAnsi="Arial" w:cs="Arial"/>
          <w:szCs w:val="22"/>
        </w:rPr>
        <w:t xml:space="preserve">  </w:t>
      </w:r>
      <w:r w:rsidR="001E49BC">
        <w:rPr>
          <w:rFonts w:ascii="Arial" w:hAnsi="Arial" w:cs="Arial"/>
          <w:szCs w:val="22"/>
        </w:rPr>
        <w:t xml:space="preserve">However, </w:t>
      </w:r>
      <w:r w:rsidR="00B5657D">
        <w:rPr>
          <w:rFonts w:ascii="Arial" w:hAnsi="Arial" w:cs="Arial"/>
          <w:szCs w:val="22"/>
        </w:rPr>
        <w:t xml:space="preserve">as above, </w:t>
      </w:r>
      <w:r w:rsidR="001E49BC">
        <w:rPr>
          <w:rFonts w:ascii="Arial" w:hAnsi="Arial" w:cs="Arial"/>
          <w:szCs w:val="22"/>
        </w:rPr>
        <w:t>we equally note that</w:t>
      </w:r>
      <w:r w:rsidR="00B5657D">
        <w:rPr>
          <w:rFonts w:ascii="Arial" w:hAnsi="Arial" w:cs="Arial"/>
          <w:szCs w:val="22"/>
        </w:rPr>
        <w:t xml:space="preserve"> </w:t>
      </w:r>
      <w:r w:rsidR="001E49BC">
        <w:rPr>
          <w:rFonts w:ascii="Arial" w:hAnsi="Arial" w:cs="Arial"/>
          <w:szCs w:val="22"/>
        </w:rPr>
        <w:t>the key facts statement will be relied upon by many consumers to inform them of their rights,</w:t>
      </w:r>
      <w:r w:rsidR="00B5657D">
        <w:rPr>
          <w:rFonts w:ascii="Arial" w:hAnsi="Arial" w:cs="Arial"/>
          <w:szCs w:val="22"/>
        </w:rPr>
        <w:t xml:space="preserve"> as intended by the reform,</w:t>
      </w:r>
      <w:r w:rsidR="001E49BC">
        <w:rPr>
          <w:rFonts w:ascii="Arial" w:hAnsi="Arial" w:cs="Arial"/>
          <w:szCs w:val="22"/>
        </w:rPr>
        <w:t xml:space="preserve"> </w:t>
      </w:r>
      <w:r w:rsidR="00B5657D">
        <w:rPr>
          <w:rFonts w:ascii="Arial" w:hAnsi="Arial" w:cs="Arial"/>
          <w:szCs w:val="22"/>
        </w:rPr>
        <w:t xml:space="preserve">thus </w:t>
      </w:r>
      <w:r w:rsidR="001E49BC">
        <w:rPr>
          <w:rFonts w:ascii="Arial" w:hAnsi="Arial" w:cs="Arial"/>
          <w:szCs w:val="22"/>
        </w:rPr>
        <w:t xml:space="preserve">insurers should be legally bound to </w:t>
      </w:r>
      <w:r w:rsidR="00B5657D">
        <w:rPr>
          <w:rFonts w:ascii="Arial" w:hAnsi="Arial" w:cs="Arial"/>
          <w:szCs w:val="22"/>
        </w:rPr>
        <w:t xml:space="preserve">the most important </w:t>
      </w:r>
      <w:r w:rsidR="001E49BC">
        <w:rPr>
          <w:rFonts w:ascii="Arial" w:hAnsi="Arial" w:cs="Arial"/>
          <w:szCs w:val="22"/>
        </w:rPr>
        <w:t>representations made in such statements</w:t>
      </w:r>
      <w:r w:rsidR="00B5657D">
        <w:rPr>
          <w:rFonts w:ascii="Arial" w:hAnsi="Arial" w:cs="Arial"/>
          <w:szCs w:val="22"/>
        </w:rPr>
        <w:t>, especially regarding prescribed events to be listed.</w:t>
      </w:r>
    </w:p>
    <w:p w:rsidR="00C11A5F" w:rsidRDefault="00C11A5F" w:rsidP="00443F58">
      <w:pPr>
        <w:spacing w:line="276" w:lineRule="auto"/>
        <w:ind w:right="-96"/>
        <w:jc w:val="both"/>
        <w:rPr>
          <w:rFonts w:ascii="Arial" w:hAnsi="Arial" w:cs="Arial"/>
          <w:i/>
          <w:sz w:val="22"/>
          <w:szCs w:val="22"/>
        </w:rPr>
      </w:pPr>
      <w:r w:rsidRPr="00501161">
        <w:rPr>
          <w:rFonts w:ascii="Arial" w:hAnsi="Arial" w:cs="Arial"/>
          <w:i/>
          <w:sz w:val="22"/>
          <w:szCs w:val="22"/>
        </w:rPr>
        <w:t>Should there be prescribed in detail the format (for example, font size) for various items, or is it preferable to leave some flexibility in presentation?</w:t>
      </w:r>
    </w:p>
    <w:p w:rsidR="00B5657D" w:rsidRPr="00501161" w:rsidRDefault="00B5657D" w:rsidP="00443F58">
      <w:pPr>
        <w:spacing w:line="276" w:lineRule="auto"/>
        <w:ind w:right="-96"/>
        <w:jc w:val="both"/>
        <w:rPr>
          <w:rFonts w:ascii="Arial" w:hAnsi="Arial" w:cs="Arial"/>
          <w:i/>
          <w:sz w:val="22"/>
          <w:szCs w:val="22"/>
        </w:rPr>
      </w:pPr>
    </w:p>
    <w:p w:rsidR="00F80440" w:rsidRPr="00501161" w:rsidRDefault="00651D38" w:rsidP="00B5657D">
      <w:pPr>
        <w:pStyle w:val="BoxText"/>
        <w:rPr>
          <w:rFonts w:ascii="Arial" w:hAnsi="Arial" w:cs="Arial"/>
          <w:szCs w:val="22"/>
        </w:rPr>
      </w:pPr>
      <w:r w:rsidRPr="00501161">
        <w:rPr>
          <w:rFonts w:ascii="Arial" w:hAnsi="Arial" w:cs="Arial"/>
          <w:szCs w:val="22"/>
        </w:rPr>
        <w:t>We strongly recommend that the</w:t>
      </w:r>
      <w:r w:rsidR="00D02C71" w:rsidRPr="00501161">
        <w:rPr>
          <w:rFonts w:ascii="Arial" w:hAnsi="Arial" w:cs="Arial"/>
          <w:szCs w:val="22"/>
        </w:rPr>
        <w:t xml:space="preserve"> details </w:t>
      </w:r>
      <w:r w:rsidR="00F80440" w:rsidRPr="00501161">
        <w:rPr>
          <w:rFonts w:ascii="Arial" w:hAnsi="Arial" w:cs="Arial"/>
          <w:szCs w:val="22"/>
        </w:rPr>
        <w:t>of format</w:t>
      </w:r>
      <w:r w:rsidRPr="00501161">
        <w:rPr>
          <w:rFonts w:ascii="Arial" w:hAnsi="Arial" w:cs="Arial"/>
          <w:szCs w:val="22"/>
        </w:rPr>
        <w:t xml:space="preserve"> be prescribed</w:t>
      </w:r>
      <w:r w:rsidR="00D02C71" w:rsidRPr="00501161">
        <w:rPr>
          <w:rFonts w:ascii="Arial" w:hAnsi="Arial" w:cs="Arial"/>
          <w:szCs w:val="22"/>
        </w:rPr>
        <w:t>.</w:t>
      </w:r>
      <w:r w:rsidR="00F80440" w:rsidRPr="00501161">
        <w:rPr>
          <w:rFonts w:ascii="Arial" w:hAnsi="Arial" w:cs="Arial"/>
          <w:szCs w:val="22"/>
        </w:rPr>
        <w:t xml:space="preserve">  The purpose of the key facts statements are to convey information simply and clearly to consumers.  Once a format has been developed to do so, we do not see a need for flexibility.  On the contrary, allowing flexibility in presentation may make comparison of different products more difficult. </w:t>
      </w:r>
      <w:r w:rsidRPr="00501161">
        <w:rPr>
          <w:rFonts w:ascii="Arial" w:hAnsi="Arial" w:cs="Arial"/>
          <w:szCs w:val="22"/>
        </w:rPr>
        <w:t xml:space="preserve"> Insurers remain free to develop any marketing materials that they like and will continue to do so, and they have full flexibility in that space.  Key facts statements, on the other hand, are not intended to constitute insurer marketing.</w:t>
      </w:r>
    </w:p>
    <w:p w:rsidR="000D3FA2" w:rsidRPr="00501161" w:rsidRDefault="00B2409F" w:rsidP="00B5657D">
      <w:pPr>
        <w:pStyle w:val="BoxText"/>
        <w:rPr>
          <w:rFonts w:ascii="Arial" w:hAnsi="Arial" w:cs="Arial"/>
          <w:szCs w:val="22"/>
        </w:rPr>
      </w:pPr>
      <w:r w:rsidRPr="00501161">
        <w:rPr>
          <w:rFonts w:ascii="Arial" w:hAnsi="Arial" w:cs="Arial"/>
          <w:szCs w:val="22"/>
        </w:rPr>
        <w:t>I</w:t>
      </w:r>
      <w:r w:rsidR="00D02C71" w:rsidRPr="00501161">
        <w:rPr>
          <w:rFonts w:ascii="Arial" w:hAnsi="Arial" w:cs="Arial"/>
          <w:szCs w:val="22"/>
        </w:rPr>
        <w:t xml:space="preserve">f not all </w:t>
      </w:r>
      <w:r w:rsidRPr="00501161">
        <w:rPr>
          <w:rFonts w:ascii="Arial" w:hAnsi="Arial" w:cs="Arial"/>
          <w:szCs w:val="22"/>
        </w:rPr>
        <w:t xml:space="preserve">details are </w:t>
      </w:r>
      <w:r w:rsidR="00D02C71" w:rsidRPr="00501161">
        <w:rPr>
          <w:rFonts w:ascii="Arial" w:hAnsi="Arial" w:cs="Arial"/>
          <w:szCs w:val="22"/>
        </w:rPr>
        <w:t xml:space="preserve">prescribed, at the very least insurers should be required to list exclusions </w:t>
      </w:r>
      <w:r w:rsidRPr="00501161">
        <w:rPr>
          <w:rFonts w:ascii="Arial" w:hAnsi="Arial" w:cs="Arial"/>
          <w:szCs w:val="22"/>
        </w:rPr>
        <w:t>at least as prominently as</w:t>
      </w:r>
      <w:r w:rsidR="00D02C71" w:rsidRPr="00501161">
        <w:rPr>
          <w:rFonts w:ascii="Arial" w:hAnsi="Arial" w:cs="Arial"/>
          <w:szCs w:val="22"/>
        </w:rPr>
        <w:t xml:space="preserve"> descriptions of what is covered.</w:t>
      </w:r>
    </w:p>
    <w:p w:rsidR="00241FB4" w:rsidRPr="00B5657D" w:rsidRDefault="00241FB4" w:rsidP="00B5657D">
      <w:pPr>
        <w:pStyle w:val="Default"/>
        <w:jc w:val="both"/>
        <w:rPr>
          <w:b/>
          <w:bCs/>
          <w:color w:val="auto"/>
          <w:sz w:val="28"/>
          <w:szCs w:val="28"/>
        </w:rPr>
      </w:pPr>
      <w:r w:rsidRPr="00B5657D">
        <w:rPr>
          <w:b/>
          <w:bCs/>
          <w:color w:val="auto"/>
          <w:sz w:val="28"/>
          <w:szCs w:val="28"/>
        </w:rPr>
        <w:t>Time limits for claims handling</w:t>
      </w:r>
    </w:p>
    <w:p w:rsidR="00241FB4" w:rsidRPr="00501161" w:rsidRDefault="00241FB4" w:rsidP="00B5657D">
      <w:pPr>
        <w:jc w:val="both"/>
        <w:rPr>
          <w:rFonts w:ascii="Arial" w:hAnsi="Arial" w:cs="Arial"/>
          <w:sz w:val="22"/>
          <w:szCs w:val="22"/>
        </w:rPr>
      </w:pPr>
    </w:p>
    <w:p w:rsidR="00241FB4" w:rsidRPr="00501161" w:rsidRDefault="00241FB4" w:rsidP="00B5657D">
      <w:pPr>
        <w:spacing w:after="240"/>
        <w:jc w:val="both"/>
        <w:rPr>
          <w:rFonts w:ascii="Arial" w:hAnsi="Arial" w:cs="Arial"/>
          <w:i/>
          <w:sz w:val="22"/>
          <w:szCs w:val="22"/>
        </w:rPr>
      </w:pPr>
      <w:r w:rsidRPr="00501161">
        <w:rPr>
          <w:rFonts w:ascii="Arial" w:hAnsi="Arial" w:cs="Arial"/>
          <w:i/>
          <w:sz w:val="22"/>
          <w:szCs w:val="22"/>
        </w:rPr>
        <w:t>Introductory Remarks</w:t>
      </w:r>
    </w:p>
    <w:p w:rsidR="00241FB4" w:rsidRDefault="00241FB4" w:rsidP="00B5657D">
      <w:pPr>
        <w:spacing w:line="276" w:lineRule="auto"/>
        <w:ind w:right="-96"/>
        <w:jc w:val="both"/>
        <w:rPr>
          <w:rFonts w:ascii="Arial" w:hAnsi="Arial" w:cs="Arial"/>
          <w:sz w:val="22"/>
          <w:szCs w:val="22"/>
        </w:rPr>
      </w:pPr>
      <w:r w:rsidRPr="00501161">
        <w:rPr>
          <w:rFonts w:ascii="Arial" w:hAnsi="Arial" w:cs="Arial"/>
          <w:sz w:val="22"/>
          <w:szCs w:val="22"/>
        </w:rPr>
        <w:t>As noted in the discussion paper, the Insurance Council of Australia (ICA) has agreed to consider amending the General Insurance Code of Practice to limit the time insurers have to make a decision on claims.  We welcome this, subject to the remarks below.</w:t>
      </w:r>
    </w:p>
    <w:p w:rsidR="00B5657D" w:rsidRPr="00501161" w:rsidRDefault="00B5657D" w:rsidP="00B5657D">
      <w:pPr>
        <w:spacing w:line="276" w:lineRule="auto"/>
        <w:ind w:right="-96"/>
        <w:jc w:val="both"/>
        <w:rPr>
          <w:rFonts w:ascii="Arial" w:hAnsi="Arial" w:cs="Arial"/>
          <w:sz w:val="22"/>
          <w:szCs w:val="22"/>
        </w:rPr>
      </w:pPr>
    </w:p>
    <w:p w:rsidR="00241FB4" w:rsidRPr="00501161" w:rsidRDefault="00241FB4" w:rsidP="00B5657D">
      <w:pPr>
        <w:spacing w:after="240"/>
        <w:jc w:val="both"/>
        <w:rPr>
          <w:rFonts w:ascii="Arial" w:hAnsi="Arial" w:cs="Arial"/>
          <w:i/>
          <w:sz w:val="22"/>
          <w:szCs w:val="22"/>
        </w:rPr>
      </w:pPr>
      <w:r w:rsidRPr="00501161">
        <w:rPr>
          <w:rFonts w:ascii="Arial" w:hAnsi="Arial" w:cs="Arial"/>
          <w:i/>
          <w:sz w:val="22"/>
          <w:szCs w:val="22"/>
        </w:rPr>
        <w:lastRenderedPageBreak/>
        <w:t>Imposing time limits through code or regulation</w:t>
      </w:r>
    </w:p>
    <w:p w:rsidR="00241FB4" w:rsidRPr="00501161" w:rsidRDefault="00241FB4" w:rsidP="00B5657D">
      <w:pPr>
        <w:spacing w:line="276" w:lineRule="auto"/>
        <w:ind w:right="-96"/>
        <w:jc w:val="both"/>
        <w:rPr>
          <w:rFonts w:ascii="Arial" w:hAnsi="Arial" w:cs="Arial"/>
          <w:sz w:val="22"/>
          <w:szCs w:val="22"/>
        </w:rPr>
      </w:pPr>
      <w:r w:rsidRPr="00501161">
        <w:rPr>
          <w:rFonts w:ascii="Arial" w:hAnsi="Arial" w:cs="Arial"/>
          <w:sz w:val="22"/>
          <w:szCs w:val="22"/>
        </w:rPr>
        <w:t>Although unstated</w:t>
      </w:r>
      <w:r w:rsidR="00B5657D">
        <w:rPr>
          <w:rFonts w:ascii="Arial" w:hAnsi="Arial" w:cs="Arial"/>
          <w:sz w:val="22"/>
          <w:szCs w:val="22"/>
        </w:rPr>
        <w:t>,</w:t>
      </w:r>
      <w:r w:rsidRPr="00501161">
        <w:rPr>
          <w:rFonts w:ascii="Arial" w:hAnsi="Arial" w:cs="Arial"/>
          <w:sz w:val="22"/>
          <w:szCs w:val="22"/>
        </w:rPr>
        <w:t xml:space="preserve"> the proposal to amend the General Insurance Code of Practice is put forward as an alternative to regulatory change by Government through amendments to the </w:t>
      </w:r>
      <w:r w:rsidRPr="00B5657D">
        <w:rPr>
          <w:rFonts w:ascii="Arial" w:hAnsi="Arial" w:cs="Arial"/>
          <w:i/>
          <w:sz w:val="22"/>
          <w:szCs w:val="22"/>
        </w:rPr>
        <w:t xml:space="preserve">Insurance Contracts Act 1984 </w:t>
      </w:r>
      <w:r w:rsidRPr="00501161">
        <w:rPr>
          <w:rFonts w:ascii="Arial" w:hAnsi="Arial" w:cs="Arial"/>
          <w:sz w:val="22"/>
          <w:szCs w:val="22"/>
        </w:rPr>
        <w:t>or the ASIC Regulatory Guide 165.</w:t>
      </w:r>
    </w:p>
    <w:p w:rsidR="00241FB4" w:rsidRPr="00501161" w:rsidRDefault="00241FB4" w:rsidP="00B5657D">
      <w:pPr>
        <w:spacing w:line="276" w:lineRule="auto"/>
        <w:ind w:right="-96"/>
        <w:jc w:val="both"/>
        <w:rPr>
          <w:rFonts w:ascii="Arial" w:hAnsi="Arial" w:cs="Arial"/>
          <w:sz w:val="22"/>
          <w:szCs w:val="22"/>
        </w:rPr>
      </w:pPr>
    </w:p>
    <w:p w:rsidR="00241FB4" w:rsidRDefault="00241FB4" w:rsidP="00B5657D">
      <w:pPr>
        <w:spacing w:line="276" w:lineRule="auto"/>
        <w:ind w:right="-96"/>
        <w:jc w:val="both"/>
        <w:rPr>
          <w:rFonts w:ascii="Arial" w:hAnsi="Arial" w:cs="Arial"/>
          <w:sz w:val="22"/>
          <w:szCs w:val="22"/>
        </w:rPr>
      </w:pPr>
      <w:r w:rsidRPr="00501161">
        <w:rPr>
          <w:rFonts w:ascii="Arial" w:hAnsi="Arial" w:cs="Arial"/>
          <w:sz w:val="22"/>
          <w:szCs w:val="22"/>
        </w:rPr>
        <w:t>In our view, the changes should be imposed by way of regulatory change. We believe that there are at least three reasons to question whether reliance on the non</w:t>
      </w:r>
      <w:r w:rsidR="00B5657D">
        <w:rPr>
          <w:rFonts w:ascii="Arial" w:hAnsi="Arial" w:cs="Arial"/>
          <w:sz w:val="22"/>
          <w:szCs w:val="22"/>
        </w:rPr>
        <w:t>-</w:t>
      </w:r>
      <w:r w:rsidRPr="00501161">
        <w:rPr>
          <w:rFonts w:ascii="Arial" w:hAnsi="Arial" w:cs="Arial"/>
          <w:sz w:val="22"/>
          <w:szCs w:val="22"/>
        </w:rPr>
        <w:t>regulatory Code will achieve the desired outcomes:</w:t>
      </w:r>
    </w:p>
    <w:p w:rsidR="00B5657D" w:rsidRPr="00501161" w:rsidRDefault="00B5657D" w:rsidP="00B5657D">
      <w:pPr>
        <w:spacing w:line="276" w:lineRule="auto"/>
        <w:ind w:right="-96"/>
        <w:jc w:val="both"/>
        <w:rPr>
          <w:rFonts w:ascii="Arial" w:hAnsi="Arial" w:cs="Arial"/>
          <w:sz w:val="22"/>
          <w:szCs w:val="22"/>
        </w:rPr>
      </w:pPr>
    </w:p>
    <w:p w:rsidR="00241FB4" w:rsidRPr="00501161" w:rsidRDefault="00241FB4" w:rsidP="00B5657D">
      <w:pPr>
        <w:pStyle w:val="ListParagraph"/>
        <w:numPr>
          <w:ilvl w:val="0"/>
          <w:numId w:val="34"/>
        </w:numPr>
        <w:spacing w:after="200" w:line="276" w:lineRule="auto"/>
        <w:jc w:val="both"/>
        <w:rPr>
          <w:rFonts w:ascii="Arial" w:hAnsi="Arial" w:cs="Arial"/>
        </w:rPr>
      </w:pPr>
      <w:r w:rsidRPr="00501161">
        <w:rPr>
          <w:rFonts w:ascii="Arial" w:hAnsi="Arial" w:cs="Arial"/>
        </w:rPr>
        <w:t>The recent history of the Code is poor – there have been problems with the governance and funding of the monitoring committee and staff. There has been a lack of transparency in Code monitoring and it is unclear as to whether the industry has been compliant with the Code of Practice</w:t>
      </w:r>
      <w:r w:rsidR="00B5657D">
        <w:rPr>
          <w:rFonts w:ascii="Arial" w:hAnsi="Arial" w:cs="Arial"/>
        </w:rPr>
        <w:t>.</w:t>
      </w:r>
    </w:p>
    <w:p w:rsidR="00241FB4" w:rsidRPr="00501161" w:rsidRDefault="00241FB4" w:rsidP="00B5657D">
      <w:pPr>
        <w:pStyle w:val="ListParagraph"/>
        <w:numPr>
          <w:ilvl w:val="0"/>
          <w:numId w:val="34"/>
        </w:numPr>
        <w:spacing w:after="200" w:line="276" w:lineRule="auto"/>
        <w:jc w:val="both"/>
        <w:rPr>
          <w:rFonts w:ascii="Arial" w:hAnsi="Arial" w:cs="Arial"/>
        </w:rPr>
      </w:pPr>
      <w:r w:rsidRPr="00501161">
        <w:rPr>
          <w:rFonts w:ascii="Arial" w:hAnsi="Arial" w:cs="Arial"/>
        </w:rPr>
        <w:t>The ICA has yet to commit to the monitoring of the Code through the Financial Ombudsman Service or any alternative body. This indicates a serious lack of commitment to the Code at the very time the industry is suggesting that Code amendments will lead to change within the industry.</w:t>
      </w:r>
    </w:p>
    <w:p w:rsidR="00241FB4" w:rsidRPr="00501161" w:rsidRDefault="00241FB4" w:rsidP="00B5657D">
      <w:pPr>
        <w:pStyle w:val="ListParagraph"/>
        <w:numPr>
          <w:ilvl w:val="0"/>
          <w:numId w:val="34"/>
        </w:numPr>
        <w:spacing w:after="200" w:line="276" w:lineRule="auto"/>
        <w:jc w:val="both"/>
        <w:rPr>
          <w:rFonts w:ascii="Arial" w:hAnsi="Arial" w:cs="Arial"/>
        </w:rPr>
      </w:pPr>
      <w:r w:rsidRPr="00501161">
        <w:rPr>
          <w:rFonts w:ascii="Arial" w:hAnsi="Arial" w:cs="Arial"/>
        </w:rPr>
        <w:t>The existing section of the Code on Claims Handling has been in place for around ten years and has not resolved these issues. In particular</w:t>
      </w:r>
      <w:r w:rsidR="00B5657D">
        <w:rPr>
          <w:rFonts w:ascii="Arial" w:hAnsi="Arial" w:cs="Arial"/>
        </w:rPr>
        <w:t>, Section 3.2.3 of</w:t>
      </w:r>
      <w:r w:rsidRPr="00501161">
        <w:rPr>
          <w:rFonts w:ascii="Arial" w:hAnsi="Arial" w:cs="Arial"/>
        </w:rPr>
        <w:t xml:space="preserve"> the Code requires insurers to update consumers on the status of unpaid claims every 20 days. In our experience this clause has been ineffective and unworkable.</w:t>
      </w:r>
    </w:p>
    <w:p w:rsidR="00241FB4" w:rsidRPr="00501161" w:rsidRDefault="00241FB4" w:rsidP="00B5657D">
      <w:pPr>
        <w:spacing w:line="276" w:lineRule="auto"/>
        <w:ind w:right="-96"/>
        <w:jc w:val="both"/>
        <w:rPr>
          <w:rFonts w:ascii="Arial" w:hAnsi="Arial" w:cs="Arial"/>
          <w:sz w:val="22"/>
          <w:szCs w:val="22"/>
        </w:rPr>
      </w:pPr>
      <w:r w:rsidRPr="00501161">
        <w:rPr>
          <w:rFonts w:ascii="Arial" w:hAnsi="Arial" w:cs="Arial"/>
          <w:sz w:val="22"/>
          <w:szCs w:val="22"/>
        </w:rPr>
        <w:t>Real change is more likely to occur if the change is imposed by regulation through ASIC Regulatory Guide 165</w:t>
      </w:r>
      <w:r w:rsidR="001E49BC">
        <w:rPr>
          <w:rFonts w:ascii="Arial" w:hAnsi="Arial" w:cs="Arial"/>
          <w:sz w:val="22"/>
          <w:szCs w:val="22"/>
        </w:rPr>
        <w:t>, where reporting can</w:t>
      </w:r>
      <w:r w:rsidR="003E1C70">
        <w:rPr>
          <w:rFonts w:ascii="Arial" w:hAnsi="Arial" w:cs="Arial"/>
          <w:sz w:val="22"/>
          <w:szCs w:val="22"/>
        </w:rPr>
        <w:t xml:space="preserve"> also</w:t>
      </w:r>
      <w:r w:rsidR="001E49BC">
        <w:rPr>
          <w:rFonts w:ascii="Arial" w:hAnsi="Arial" w:cs="Arial"/>
          <w:sz w:val="22"/>
          <w:szCs w:val="22"/>
        </w:rPr>
        <w:t xml:space="preserve"> be </w:t>
      </w:r>
      <w:r w:rsidR="001F5CAA">
        <w:rPr>
          <w:rFonts w:ascii="Arial" w:hAnsi="Arial" w:cs="Arial"/>
          <w:sz w:val="22"/>
          <w:szCs w:val="22"/>
        </w:rPr>
        <w:t>monitored</w:t>
      </w:r>
      <w:r w:rsidR="001E49BC">
        <w:rPr>
          <w:rFonts w:ascii="Arial" w:hAnsi="Arial" w:cs="Arial"/>
          <w:sz w:val="22"/>
          <w:szCs w:val="22"/>
        </w:rPr>
        <w:t xml:space="preserve"> on an </w:t>
      </w:r>
      <w:r w:rsidR="001F5CAA">
        <w:rPr>
          <w:rFonts w:ascii="Arial" w:hAnsi="Arial" w:cs="Arial"/>
          <w:sz w:val="22"/>
          <w:szCs w:val="22"/>
        </w:rPr>
        <w:t>ongoing</w:t>
      </w:r>
      <w:r w:rsidR="001E49BC">
        <w:rPr>
          <w:rFonts w:ascii="Arial" w:hAnsi="Arial" w:cs="Arial"/>
          <w:sz w:val="22"/>
          <w:szCs w:val="22"/>
        </w:rPr>
        <w:t xml:space="preserve"> basis by the regulator</w:t>
      </w:r>
      <w:r w:rsidRPr="00501161">
        <w:rPr>
          <w:rFonts w:ascii="Arial" w:hAnsi="Arial" w:cs="Arial"/>
          <w:sz w:val="22"/>
          <w:szCs w:val="22"/>
        </w:rPr>
        <w:t>. We have no objection to the proposed changes being included in the Code of Practice but submit that inclusion in the Regulatory Guide is more likely to be effective in ensuring compliance by industry.</w:t>
      </w:r>
    </w:p>
    <w:p w:rsidR="00241FB4" w:rsidRPr="00501161" w:rsidRDefault="00241FB4" w:rsidP="00B5657D">
      <w:pPr>
        <w:jc w:val="both"/>
        <w:rPr>
          <w:rFonts w:ascii="Arial" w:hAnsi="Arial" w:cs="Arial"/>
          <w:sz w:val="22"/>
          <w:szCs w:val="22"/>
        </w:rPr>
      </w:pPr>
    </w:p>
    <w:p w:rsidR="00241FB4" w:rsidRPr="00501161" w:rsidRDefault="00241FB4" w:rsidP="00B5657D">
      <w:pPr>
        <w:spacing w:after="240"/>
        <w:jc w:val="both"/>
        <w:rPr>
          <w:rFonts w:ascii="Arial" w:hAnsi="Arial" w:cs="Arial"/>
          <w:i/>
          <w:sz w:val="22"/>
          <w:szCs w:val="22"/>
        </w:rPr>
      </w:pPr>
      <w:r w:rsidRPr="00501161">
        <w:rPr>
          <w:rFonts w:ascii="Arial" w:hAnsi="Arial" w:cs="Arial"/>
          <w:i/>
          <w:sz w:val="22"/>
          <w:szCs w:val="22"/>
        </w:rPr>
        <w:t>Operation of the time limit</w:t>
      </w:r>
    </w:p>
    <w:p w:rsidR="00241FB4" w:rsidRPr="00370D1C" w:rsidRDefault="00241FB4" w:rsidP="00B5657D">
      <w:pPr>
        <w:spacing w:line="276" w:lineRule="auto"/>
        <w:ind w:right="-96"/>
        <w:jc w:val="both"/>
        <w:rPr>
          <w:rFonts w:ascii="Arial" w:hAnsi="Arial" w:cs="Arial"/>
          <w:sz w:val="22"/>
          <w:szCs w:val="22"/>
        </w:rPr>
      </w:pPr>
      <w:r w:rsidRPr="00370D1C">
        <w:rPr>
          <w:rFonts w:ascii="Arial" w:hAnsi="Arial" w:cs="Arial"/>
          <w:sz w:val="22"/>
          <w:szCs w:val="22"/>
        </w:rPr>
        <w:t xml:space="preserve">We </w:t>
      </w:r>
      <w:r w:rsidR="001F5CAA" w:rsidRPr="00370D1C">
        <w:rPr>
          <w:rFonts w:ascii="Arial" w:hAnsi="Arial" w:cs="Arial"/>
          <w:sz w:val="22"/>
          <w:szCs w:val="22"/>
        </w:rPr>
        <w:t xml:space="preserve">submit </w:t>
      </w:r>
      <w:r w:rsidRPr="00370D1C">
        <w:rPr>
          <w:rFonts w:ascii="Arial" w:hAnsi="Arial" w:cs="Arial"/>
          <w:sz w:val="22"/>
          <w:szCs w:val="22"/>
        </w:rPr>
        <w:t xml:space="preserve">that </w:t>
      </w:r>
      <w:r w:rsidR="001F5CAA" w:rsidRPr="00370D1C">
        <w:rPr>
          <w:rFonts w:ascii="Arial" w:hAnsi="Arial" w:cs="Arial"/>
          <w:sz w:val="22"/>
          <w:szCs w:val="22"/>
        </w:rPr>
        <w:t xml:space="preserve">the rule be explicitly stated as one which requires </w:t>
      </w:r>
      <w:r w:rsidRPr="00370D1C">
        <w:rPr>
          <w:rFonts w:ascii="Arial" w:hAnsi="Arial" w:cs="Arial"/>
          <w:sz w:val="22"/>
          <w:szCs w:val="22"/>
        </w:rPr>
        <w:t xml:space="preserve">insurers to make a decision regarding a claim within six months from receiving it, unless exceptional circumstances exist. </w:t>
      </w:r>
    </w:p>
    <w:p w:rsidR="00241FB4" w:rsidRPr="00370D1C" w:rsidRDefault="00241FB4" w:rsidP="00370D1C">
      <w:pPr>
        <w:spacing w:line="276" w:lineRule="auto"/>
        <w:ind w:right="-96"/>
        <w:jc w:val="both"/>
        <w:rPr>
          <w:rFonts w:ascii="Arial" w:hAnsi="Arial" w:cs="Arial"/>
          <w:sz w:val="22"/>
          <w:szCs w:val="22"/>
        </w:rPr>
      </w:pPr>
    </w:p>
    <w:p w:rsidR="00241FB4" w:rsidRPr="00501161" w:rsidRDefault="00241FB4" w:rsidP="00370D1C">
      <w:pPr>
        <w:spacing w:line="276" w:lineRule="auto"/>
        <w:ind w:right="-96"/>
        <w:jc w:val="both"/>
        <w:rPr>
          <w:rFonts w:ascii="Arial" w:hAnsi="Arial" w:cs="Arial"/>
          <w:sz w:val="22"/>
          <w:szCs w:val="22"/>
        </w:rPr>
      </w:pPr>
      <w:r w:rsidRPr="00501161">
        <w:rPr>
          <w:rFonts w:ascii="Arial" w:hAnsi="Arial" w:cs="Arial"/>
          <w:sz w:val="22"/>
          <w:szCs w:val="22"/>
        </w:rPr>
        <w:t xml:space="preserve">If a decision has not been made within four months of receiving the claim, we recommend that insurers be required to refer the claim to their internal dispute resolution (IDR) process.  The automatic referral after four months will require the insurer to make a decision within 45 days. The insurer will also have to send the insured a letter setting out the circumstances of the referral and the right of the insured to seek a review at EDR if dissatisfied with the IDR decision.  Where no decision has been made after four months, the insured must be given </w:t>
      </w:r>
      <w:r w:rsidR="001F5CAA">
        <w:rPr>
          <w:rFonts w:ascii="Arial" w:hAnsi="Arial" w:cs="Arial"/>
          <w:sz w:val="22"/>
          <w:szCs w:val="22"/>
        </w:rPr>
        <w:t xml:space="preserve">written </w:t>
      </w:r>
      <w:r w:rsidRPr="00501161">
        <w:rPr>
          <w:rFonts w:ascii="Arial" w:hAnsi="Arial" w:cs="Arial"/>
          <w:sz w:val="22"/>
          <w:szCs w:val="22"/>
        </w:rPr>
        <w:t>details of their right to both IDR and external dispute resolution (EDR).</w:t>
      </w:r>
    </w:p>
    <w:p w:rsidR="00241FB4" w:rsidRPr="00501161" w:rsidRDefault="00241FB4" w:rsidP="00B5657D">
      <w:pPr>
        <w:jc w:val="both"/>
        <w:rPr>
          <w:rFonts w:ascii="Arial" w:hAnsi="Arial" w:cs="Arial"/>
          <w:sz w:val="22"/>
          <w:szCs w:val="22"/>
        </w:rPr>
      </w:pPr>
    </w:p>
    <w:p w:rsidR="00241FB4" w:rsidRPr="00370D1C" w:rsidRDefault="00241FB4" w:rsidP="00370D1C">
      <w:pPr>
        <w:spacing w:line="276" w:lineRule="auto"/>
        <w:ind w:right="-96"/>
        <w:jc w:val="both"/>
        <w:rPr>
          <w:rFonts w:ascii="Arial" w:hAnsi="Arial" w:cs="Arial"/>
          <w:sz w:val="22"/>
          <w:szCs w:val="22"/>
        </w:rPr>
      </w:pPr>
      <w:r w:rsidRPr="00370D1C">
        <w:rPr>
          <w:rFonts w:ascii="Arial" w:hAnsi="Arial" w:cs="Arial"/>
          <w:sz w:val="22"/>
          <w:szCs w:val="22"/>
        </w:rPr>
        <w:t>It is our experience that where a decision has not been made after four months, a referral to IDR or even denial of the claim is preferable to no decision at all.</w:t>
      </w:r>
    </w:p>
    <w:p w:rsidR="00241FB4" w:rsidRPr="00370D1C" w:rsidRDefault="00241FB4" w:rsidP="00370D1C">
      <w:pPr>
        <w:spacing w:line="276" w:lineRule="auto"/>
        <w:ind w:right="-96"/>
        <w:jc w:val="both"/>
        <w:rPr>
          <w:rFonts w:ascii="Arial" w:hAnsi="Arial" w:cs="Arial"/>
          <w:sz w:val="22"/>
          <w:szCs w:val="22"/>
        </w:rPr>
      </w:pPr>
    </w:p>
    <w:p w:rsidR="00241FB4" w:rsidRDefault="00241FB4" w:rsidP="00370D1C">
      <w:pPr>
        <w:spacing w:line="276" w:lineRule="auto"/>
        <w:ind w:right="-96"/>
        <w:jc w:val="both"/>
        <w:rPr>
          <w:rFonts w:ascii="Arial" w:hAnsi="Arial" w:cs="Arial"/>
          <w:sz w:val="22"/>
          <w:szCs w:val="22"/>
        </w:rPr>
      </w:pPr>
      <w:r w:rsidRPr="00501161">
        <w:rPr>
          <w:rFonts w:ascii="Arial" w:hAnsi="Arial" w:cs="Arial"/>
          <w:sz w:val="22"/>
          <w:szCs w:val="22"/>
        </w:rPr>
        <w:t xml:space="preserve">Where an insurer wishes to claim that a decision could not be made within six months because of exceptional circumstances, the onus should rest with the insurer to establish those circumstances exist and explain the failure to make a decision. The alternative, that the failure to </w:t>
      </w:r>
      <w:r w:rsidRPr="00501161">
        <w:rPr>
          <w:rFonts w:ascii="Arial" w:hAnsi="Arial" w:cs="Arial"/>
          <w:sz w:val="22"/>
          <w:szCs w:val="22"/>
        </w:rPr>
        <w:lastRenderedPageBreak/>
        <w:t>make a decision can be considered to be due to unusual or exceptional circumstances unless challenged by the insured</w:t>
      </w:r>
      <w:r w:rsidR="00370D1C">
        <w:rPr>
          <w:rFonts w:ascii="Arial" w:hAnsi="Arial" w:cs="Arial"/>
          <w:sz w:val="22"/>
          <w:szCs w:val="22"/>
        </w:rPr>
        <w:t>,</w:t>
      </w:r>
      <w:r w:rsidRPr="00501161">
        <w:rPr>
          <w:rFonts w:ascii="Arial" w:hAnsi="Arial" w:cs="Arial"/>
          <w:sz w:val="22"/>
          <w:szCs w:val="22"/>
        </w:rPr>
        <w:t xml:space="preserve"> is unacceptable.</w:t>
      </w:r>
    </w:p>
    <w:p w:rsidR="001F5CAA" w:rsidRDefault="001F5CAA" w:rsidP="00B5657D">
      <w:pPr>
        <w:jc w:val="both"/>
        <w:rPr>
          <w:rFonts w:ascii="Arial" w:hAnsi="Arial" w:cs="Arial"/>
          <w:sz w:val="22"/>
          <w:szCs w:val="22"/>
        </w:rPr>
      </w:pPr>
    </w:p>
    <w:p w:rsidR="001F5CAA" w:rsidRDefault="001F5CAA" w:rsidP="00370D1C">
      <w:pPr>
        <w:spacing w:line="276" w:lineRule="auto"/>
        <w:ind w:right="-96"/>
        <w:jc w:val="both"/>
        <w:rPr>
          <w:rFonts w:ascii="Arial" w:hAnsi="Arial" w:cs="Arial"/>
          <w:sz w:val="22"/>
          <w:szCs w:val="22"/>
        </w:rPr>
      </w:pPr>
      <w:r>
        <w:rPr>
          <w:rFonts w:ascii="Arial" w:hAnsi="Arial" w:cs="Arial"/>
          <w:sz w:val="22"/>
          <w:szCs w:val="22"/>
        </w:rPr>
        <w:t xml:space="preserve">To ensure the rule is being properly complied with and to gauge the level of consumer detriment </w:t>
      </w:r>
      <w:r w:rsidR="00202DAB">
        <w:rPr>
          <w:rFonts w:ascii="Arial" w:hAnsi="Arial" w:cs="Arial"/>
          <w:sz w:val="22"/>
          <w:szCs w:val="22"/>
        </w:rPr>
        <w:t>in</w:t>
      </w:r>
      <w:r>
        <w:rPr>
          <w:rFonts w:ascii="Arial" w:hAnsi="Arial" w:cs="Arial"/>
          <w:sz w:val="22"/>
          <w:szCs w:val="22"/>
        </w:rPr>
        <w:t xml:space="preserve"> claims handling delays, </w:t>
      </w:r>
      <w:r w:rsidR="00202DAB">
        <w:rPr>
          <w:rFonts w:ascii="Arial" w:hAnsi="Arial" w:cs="Arial"/>
          <w:sz w:val="22"/>
          <w:szCs w:val="22"/>
        </w:rPr>
        <w:t xml:space="preserve">insurers </w:t>
      </w:r>
      <w:r w:rsidR="003E1C70">
        <w:rPr>
          <w:rFonts w:ascii="Arial" w:hAnsi="Arial" w:cs="Arial"/>
          <w:sz w:val="22"/>
          <w:szCs w:val="22"/>
        </w:rPr>
        <w:t xml:space="preserve">should </w:t>
      </w:r>
      <w:r w:rsidR="00202DAB">
        <w:rPr>
          <w:rFonts w:ascii="Arial" w:hAnsi="Arial" w:cs="Arial"/>
          <w:sz w:val="22"/>
          <w:szCs w:val="22"/>
        </w:rPr>
        <w:t>provide ongoing</w:t>
      </w:r>
      <w:r>
        <w:rPr>
          <w:rFonts w:ascii="Arial" w:hAnsi="Arial" w:cs="Arial"/>
          <w:sz w:val="22"/>
          <w:szCs w:val="22"/>
        </w:rPr>
        <w:t xml:space="preserve"> reporting to ASIC</w:t>
      </w:r>
      <w:r w:rsidR="00370D1C">
        <w:rPr>
          <w:rFonts w:ascii="Arial" w:hAnsi="Arial" w:cs="Arial"/>
          <w:sz w:val="22"/>
          <w:szCs w:val="22"/>
        </w:rPr>
        <w:t xml:space="preserve">, particularly </w:t>
      </w:r>
      <w:r>
        <w:rPr>
          <w:rFonts w:ascii="Arial" w:hAnsi="Arial" w:cs="Arial"/>
          <w:sz w:val="22"/>
          <w:szCs w:val="22"/>
        </w:rPr>
        <w:t>on:</w:t>
      </w:r>
    </w:p>
    <w:p w:rsidR="001F5CAA" w:rsidRDefault="001F5CAA" w:rsidP="00370D1C">
      <w:pPr>
        <w:spacing w:line="276" w:lineRule="auto"/>
        <w:ind w:right="-96"/>
        <w:jc w:val="both"/>
        <w:rPr>
          <w:rFonts w:ascii="Arial" w:hAnsi="Arial" w:cs="Arial"/>
          <w:sz w:val="22"/>
          <w:szCs w:val="22"/>
        </w:rPr>
      </w:pPr>
    </w:p>
    <w:p w:rsidR="000A07CD" w:rsidRPr="00A25E21" w:rsidRDefault="001F5CAA" w:rsidP="00B5657D">
      <w:pPr>
        <w:pStyle w:val="BoxText"/>
        <w:numPr>
          <w:ilvl w:val="0"/>
          <w:numId w:val="22"/>
        </w:numPr>
        <w:rPr>
          <w:rFonts w:ascii="Arial" w:hAnsi="Arial" w:cs="Arial"/>
        </w:rPr>
      </w:pPr>
      <w:r w:rsidRPr="00A25E21">
        <w:rPr>
          <w:rFonts w:ascii="Arial" w:hAnsi="Arial" w:cs="Arial"/>
          <w:szCs w:val="22"/>
        </w:rPr>
        <w:t>The number of matters</w:t>
      </w:r>
      <w:r w:rsidR="00370D1C" w:rsidRPr="00A25E21">
        <w:rPr>
          <w:rFonts w:ascii="Arial" w:hAnsi="Arial" w:cs="Arial"/>
          <w:szCs w:val="22"/>
        </w:rPr>
        <w:t xml:space="preserve"> in which the</w:t>
      </w:r>
      <w:r w:rsidR="00202DAB" w:rsidRPr="00A25E21">
        <w:rPr>
          <w:rFonts w:ascii="Arial" w:hAnsi="Arial" w:cs="Arial"/>
          <w:szCs w:val="22"/>
        </w:rPr>
        <w:t xml:space="preserve"> insurer</w:t>
      </w:r>
      <w:r w:rsidR="00370D1C" w:rsidRPr="00A25E21">
        <w:rPr>
          <w:rFonts w:ascii="Arial" w:hAnsi="Arial" w:cs="Arial"/>
          <w:szCs w:val="22"/>
        </w:rPr>
        <w:t xml:space="preserve"> has not made a decision within four months and has referred the consumer to IDR; and</w:t>
      </w:r>
    </w:p>
    <w:p w:rsidR="00241FB4" w:rsidRPr="00A25E21" w:rsidRDefault="001F5CAA" w:rsidP="00B5657D">
      <w:pPr>
        <w:pStyle w:val="BoxText"/>
        <w:numPr>
          <w:ilvl w:val="0"/>
          <w:numId w:val="22"/>
        </w:numPr>
        <w:rPr>
          <w:rFonts w:ascii="Arial" w:hAnsi="Arial" w:cs="Arial"/>
          <w:szCs w:val="22"/>
        </w:rPr>
      </w:pPr>
      <w:r w:rsidRPr="00A25E21">
        <w:rPr>
          <w:rFonts w:ascii="Arial" w:hAnsi="Arial" w:cs="Arial"/>
        </w:rPr>
        <w:t xml:space="preserve">The number of matters where "exceptional circumstances" have resulted in insurers not complying with </w:t>
      </w:r>
      <w:r w:rsidR="00370D1C" w:rsidRPr="00A25E21">
        <w:rPr>
          <w:rFonts w:ascii="Arial" w:hAnsi="Arial" w:cs="Arial"/>
        </w:rPr>
        <w:t>the requirement to make a decision within six months</w:t>
      </w:r>
      <w:r w:rsidRPr="00A25E21">
        <w:rPr>
          <w:rFonts w:ascii="Arial" w:hAnsi="Arial" w:cs="Arial"/>
        </w:rPr>
        <w:t xml:space="preserve">. </w:t>
      </w:r>
    </w:p>
    <w:p w:rsidR="00241FB4" w:rsidRPr="00501161" w:rsidRDefault="003E1C70" w:rsidP="00370D1C">
      <w:pPr>
        <w:spacing w:line="276" w:lineRule="auto"/>
        <w:ind w:right="-96"/>
        <w:jc w:val="both"/>
        <w:rPr>
          <w:rFonts w:ascii="Arial" w:hAnsi="Arial" w:cs="Arial"/>
          <w:sz w:val="22"/>
          <w:szCs w:val="22"/>
        </w:rPr>
      </w:pPr>
      <w:r>
        <w:rPr>
          <w:rFonts w:ascii="Arial" w:hAnsi="Arial" w:cs="Arial"/>
          <w:sz w:val="22"/>
          <w:szCs w:val="22"/>
        </w:rPr>
        <w:t xml:space="preserve">Providing for these obligations in a regulatory guide rather than the Code would allow for this important reporting requirement.  </w:t>
      </w:r>
      <w:r w:rsidR="00241FB4" w:rsidRPr="00501161">
        <w:rPr>
          <w:rFonts w:ascii="Arial" w:hAnsi="Arial" w:cs="Arial"/>
          <w:sz w:val="22"/>
          <w:szCs w:val="22"/>
        </w:rPr>
        <w:t>If these proposals are adopted, it is</w:t>
      </w:r>
      <w:r>
        <w:rPr>
          <w:rFonts w:ascii="Arial" w:hAnsi="Arial" w:cs="Arial"/>
          <w:sz w:val="22"/>
          <w:szCs w:val="22"/>
        </w:rPr>
        <w:t xml:space="preserve"> also</w:t>
      </w:r>
      <w:r w:rsidR="00241FB4" w:rsidRPr="00501161">
        <w:rPr>
          <w:rFonts w:ascii="Arial" w:hAnsi="Arial" w:cs="Arial"/>
          <w:sz w:val="22"/>
          <w:szCs w:val="22"/>
        </w:rPr>
        <w:t xml:space="preserve"> essential that </w:t>
      </w:r>
      <w:r w:rsidR="00370D1C">
        <w:rPr>
          <w:rFonts w:ascii="Arial" w:hAnsi="Arial" w:cs="Arial"/>
          <w:sz w:val="22"/>
          <w:szCs w:val="22"/>
        </w:rPr>
        <w:t xml:space="preserve">the </w:t>
      </w:r>
      <w:r w:rsidR="00241FB4" w:rsidRPr="00501161">
        <w:rPr>
          <w:rFonts w:ascii="Arial" w:hAnsi="Arial" w:cs="Arial"/>
          <w:sz w:val="22"/>
          <w:szCs w:val="22"/>
        </w:rPr>
        <w:t>ICA, ASIC or FOS conduct shadow shopping exercise</w:t>
      </w:r>
      <w:r w:rsidR="00370D1C">
        <w:rPr>
          <w:rFonts w:ascii="Arial" w:hAnsi="Arial" w:cs="Arial"/>
          <w:sz w:val="22"/>
          <w:szCs w:val="22"/>
        </w:rPr>
        <w:t>s</w:t>
      </w:r>
      <w:r w:rsidR="00241FB4" w:rsidRPr="00501161">
        <w:rPr>
          <w:rFonts w:ascii="Arial" w:hAnsi="Arial" w:cs="Arial"/>
          <w:sz w:val="22"/>
          <w:szCs w:val="22"/>
        </w:rPr>
        <w:t xml:space="preserve"> to monitor compliance with the changes.</w:t>
      </w:r>
      <w:r w:rsidR="001F5CAA">
        <w:rPr>
          <w:rFonts w:ascii="Arial" w:hAnsi="Arial" w:cs="Arial"/>
          <w:sz w:val="22"/>
          <w:szCs w:val="22"/>
        </w:rPr>
        <w:t xml:space="preserve"> </w:t>
      </w:r>
    </w:p>
    <w:p w:rsidR="009F10B6" w:rsidRPr="00501161" w:rsidRDefault="009F10B6" w:rsidP="00B5657D">
      <w:pPr>
        <w:spacing w:line="276" w:lineRule="auto"/>
        <w:ind w:right="-96"/>
        <w:jc w:val="both"/>
        <w:rPr>
          <w:rFonts w:ascii="Arial" w:hAnsi="Arial" w:cs="Arial"/>
          <w:sz w:val="22"/>
          <w:szCs w:val="22"/>
        </w:rPr>
      </w:pPr>
    </w:p>
    <w:p w:rsidR="00756B6D" w:rsidRPr="00550749" w:rsidRDefault="00756B6D" w:rsidP="00550749">
      <w:pPr>
        <w:pStyle w:val="Default"/>
        <w:jc w:val="both"/>
        <w:rPr>
          <w:b/>
          <w:bCs/>
          <w:color w:val="auto"/>
          <w:sz w:val="28"/>
          <w:szCs w:val="28"/>
        </w:rPr>
      </w:pPr>
      <w:r w:rsidRPr="00550749">
        <w:rPr>
          <w:b/>
          <w:bCs/>
          <w:color w:val="auto"/>
          <w:sz w:val="28"/>
          <w:szCs w:val="28"/>
        </w:rPr>
        <w:t>Centrepay processing for premium payments</w:t>
      </w:r>
    </w:p>
    <w:p w:rsidR="00756B6D" w:rsidRPr="00501161" w:rsidRDefault="00756B6D" w:rsidP="00756B6D">
      <w:pPr>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 xml:space="preserve">We strongly support the decision to include home and contents and motor vehicle insurance premiums amongst the types of expenses that can be paid using Centrepay. Previous research with low income households suggests strong interest in Centrepay being available to pay insurance premiums given that most low-income households budget fortnightly (Sheehan &amp; Renouf 2006). Recent quantitative research supports this, with over 30 per cent of surveyed low income households showing interest in making insurance premium payments via Centrepay (Collins, forthcoming). </w:t>
      </w:r>
    </w:p>
    <w:p w:rsidR="00756B6D" w:rsidRPr="00501161" w:rsidRDefault="00756B6D" w:rsidP="00550749">
      <w:pPr>
        <w:spacing w:line="276" w:lineRule="auto"/>
        <w:ind w:right="-96"/>
        <w:jc w:val="both"/>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The experience of other consumer industries suggests that making Centrepay available can be of benefit to both low income consumers and businesses. This is because it will be more likely that the payment will be made if a Centrepay arrangement is set up and less likely that payments will be missed. This is of particular concern in relation to insurance contracts where policies which allow for periodic payment of premiums can be cancelled for non-payment.</w:t>
      </w:r>
    </w:p>
    <w:p w:rsidR="00756B6D" w:rsidRPr="00501161" w:rsidRDefault="00756B6D" w:rsidP="00550749">
      <w:pPr>
        <w:spacing w:line="276" w:lineRule="auto"/>
        <w:ind w:right="-96"/>
        <w:jc w:val="both"/>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 xml:space="preserve">Pursuant to the </w:t>
      </w:r>
      <w:r w:rsidRPr="00501161">
        <w:rPr>
          <w:rFonts w:ascii="Arial" w:hAnsi="Arial" w:cs="Arial"/>
          <w:i/>
          <w:sz w:val="22"/>
          <w:szCs w:val="22"/>
        </w:rPr>
        <w:t>Insurance Contracts Act 1984</w:t>
      </w:r>
      <w:r w:rsidRPr="00501161">
        <w:rPr>
          <w:rFonts w:ascii="Arial" w:hAnsi="Arial" w:cs="Arial"/>
          <w:sz w:val="22"/>
          <w:szCs w:val="22"/>
        </w:rPr>
        <w:t xml:space="preserve"> (</w:t>
      </w:r>
      <w:proofErr w:type="spellStart"/>
      <w:r w:rsidRPr="00501161">
        <w:rPr>
          <w:rFonts w:ascii="Arial" w:hAnsi="Arial" w:cs="Arial"/>
          <w:sz w:val="22"/>
          <w:szCs w:val="22"/>
        </w:rPr>
        <w:t>Cth</w:t>
      </w:r>
      <w:proofErr w:type="spellEnd"/>
      <w:r w:rsidRPr="00501161">
        <w:rPr>
          <w:rFonts w:ascii="Arial" w:hAnsi="Arial" w:cs="Arial"/>
          <w:sz w:val="22"/>
          <w:szCs w:val="22"/>
        </w:rPr>
        <w:t xml:space="preserve">), insurers can cancel an insurance contract due to an unpaid periodic premium payment where at least one instalment has remained unpaid for a period of at least one month and, before the contract was entered into, the insurer clearly informed the consumer in writing of the effect of the provision. Even where an insurance contract hasn’t been cancelled by the insurer, an insurer can deny a claim where at least one instalment has remained unpaid for a period of at least 14 days and, before the contract was entered into, the insurer clearly informed the consumer in writing of the effect of the provision. Insurers are not obligated to consider financial hardship or difficulty when cancelling a policy or denying a claim on these grounds. </w:t>
      </w:r>
    </w:p>
    <w:p w:rsidR="00756B6D" w:rsidRPr="00501161" w:rsidRDefault="00756B6D" w:rsidP="00756B6D">
      <w:pPr>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 xml:space="preserve">As such, there are significant risks that a consumer will have their contract cancelled or be denied a claim where a period payment of an insurance premium is unpaid, perhaps because a direct debit arrangement broke down or the consumer had insufficient funds to cover a direct debit payment. We recommend the Government reviews these sections of the </w:t>
      </w:r>
      <w:r w:rsidRPr="00A25E21">
        <w:rPr>
          <w:rFonts w:ascii="Arial" w:hAnsi="Arial" w:cs="Arial"/>
          <w:i/>
          <w:sz w:val="22"/>
          <w:szCs w:val="22"/>
        </w:rPr>
        <w:t>Insurance Contracts Act</w:t>
      </w:r>
      <w:r w:rsidRPr="00501161">
        <w:rPr>
          <w:rFonts w:ascii="Arial" w:hAnsi="Arial" w:cs="Arial"/>
          <w:sz w:val="22"/>
          <w:szCs w:val="22"/>
        </w:rPr>
        <w:t>.</w:t>
      </w:r>
    </w:p>
    <w:p w:rsidR="00756B6D" w:rsidRPr="00501161" w:rsidRDefault="00756B6D" w:rsidP="00550749">
      <w:pPr>
        <w:spacing w:line="276" w:lineRule="auto"/>
        <w:ind w:right="-96"/>
        <w:jc w:val="both"/>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 xml:space="preserve">One of the advantages of using Centrepay is that premiums will be paid directly from Centrelink to the service provider (and not via the recipient of the Centrelink benefit). This may reduce the </w:t>
      </w:r>
      <w:r w:rsidRPr="00501161">
        <w:rPr>
          <w:rFonts w:ascii="Arial" w:hAnsi="Arial" w:cs="Arial"/>
          <w:sz w:val="22"/>
          <w:szCs w:val="22"/>
        </w:rPr>
        <w:lastRenderedPageBreak/>
        <w:t>risk of insurance contracts being cancelled for non-payment of instalments compared to regular direct debit arrangements.</w:t>
      </w:r>
    </w:p>
    <w:p w:rsidR="00756B6D" w:rsidRPr="00501161" w:rsidRDefault="00756B6D" w:rsidP="00550749">
      <w:pPr>
        <w:spacing w:line="276" w:lineRule="auto"/>
        <w:ind w:right="-96"/>
        <w:jc w:val="both"/>
        <w:rPr>
          <w:rFonts w:ascii="Arial" w:hAnsi="Arial" w:cs="Arial"/>
          <w:sz w:val="22"/>
          <w:szCs w:val="22"/>
        </w:rPr>
      </w:pPr>
    </w:p>
    <w:p w:rsidR="00756B6D" w:rsidRPr="00501161" w:rsidRDefault="00756B6D" w:rsidP="00550749">
      <w:pPr>
        <w:spacing w:line="276" w:lineRule="auto"/>
        <w:ind w:right="-96"/>
        <w:jc w:val="both"/>
        <w:rPr>
          <w:rFonts w:ascii="Arial" w:hAnsi="Arial" w:cs="Arial"/>
          <w:sz w:val="22"/>
          <w:szCs w:val="22"/>
        </w:rPr>
      </w:pPr>
      <w:r w:rsidRPr="00501161">
        <w:rPr>
          <w:rFonts w:ascii="Arial" w:hAnsi="Arial" w:cs="Arial"/>
          <w:sz w:val="22"/>
          <w:szCs w:val="22"/>
        </w:rPr>
        <w:t xml:space="preserve">However, we are concerned that the Government approach of simply allowing insurance premiums to be paid through Centrepay will not mean that insurers will actually offer Centrepay as a payment method. Despite insurers knowing of the benefits and operation of Centrepay for some years, to our knowledge not one insurer has made an application to join the scheme. Should insurers not offer Centrepay for basic contents policies for renters and basic motor vehicle insurance policies, the Government should take further steps to require insurers to offer Centrepay. </w:t>
      </w:r>
    </w:p>
    <w:p w:rsidR="00756B6D" w:rsidRPr="00501161" w:rsidRDefault="00756B6D" w:rsidP="00756B6D">
      <w:pPr>
        <w:rPr>
          <w:rFonts w:ascii="Arial" w:hAnsi="Arial" w:cs="Arial"/>
          <w:sz w:val="22"/>
          <w:szCs w:val="22"/>
        </w:rPr>
      </w:pPr>
    </w:p>
    <w:p w:rsidR="00756B6D" w:rsidRPr="00501161" w:rsidRDefault="00756B6D" w:rsidP="00A25E21">
      <w:pPr>
        <w:spacing w:line="276" w:lineRule="auto"/>
        <w:ind w:right="-96"/>
        <w:jc w:val="both"/>
        <w:rPr>
          <w:rFonts w:ascii="Arial" w:hAnsi="Arial" w:cs="Arial"/>
          <w:sz w:val="22"/>
          <w:szCs w:val="22"/>
        </w:rPr>
      </w:pPr>
      <w:r w:rsidRPr="00501161">
        <w:rPr>
          <w:rFonts w:ascii="Arial" w:hAnsi="Arial" w:cs="Arial"/>
          <w:sz w:val="22"/>
          <w:szCs w:val="22"/>
        </w:rPr>
        <w:t xml:space="preserve">Finally, we are also concerned that </w:t>
      </w:r>
      <w:proofErr w:type="spellStart"/>
      <w:r w:rsidRPr="00501161">
        <w:rPr>
          <w:rFonts w:ascii="Arial" w:hAnsi="Arial" w:cs="Arial"/>
          <w:sz w:val="22"/>
          <w:szCs w:val="22"/>
        </w:rPr>
        <w:t>Centrepay's</w:t>
      </w:r>
      <w:proofErr w:type="spellEnd"/>
      <w:r w:rsidRPr="00501161">
        <w:rPr>
          <w:rFonts w:ascii="Arial" w:hAnsi="Arial" w:cs="Arial"/>
          <w:sz w:val="22"/>
          <w:szCs w:val="22"/>
        </w:rPr>
        <w:t xml:space="preserve"> requirement that deductions be at least $10 per fortnight will prevent some consumers from using </w:t>
      </w:r>
      <w:r w:rsidR="00A25E21">
        <w:rPr>
          <w:rFonts w:ascii="Arial" w:hAnsi="Arial" w:cs="Arial"/>
          <w:sz w:val="22"/>
          <w:szCs w:val="22"/>
        </w:rPr>
        <w:t>Centrepay to pay premium instal</w:t>
      </w:r>
      <w:r w:rsidRPr="00501161">
        <w:rPr>
          <w:rFonts w:ascii="Arial" w:hAnsi="Arial" w:cs="Arial"/>
          <w:sz w:val="22"/>
          <w:szCs w:val="22"/>
        </w:rPr>
        <w:t>ments</w:t>
      </w:r>
      <w:r w:rsidR="00A25E21">
        <w:rPr>
          <w:rFonts w:ascii="Arial" w:hAnsi="Arial" w:cs="Arial"/>
          <w:sz w:val="22"/>
          <w:szCs w:val="22"/>
        </w:rPr>
        <w:t>.</w:t>
      </w:r>
      <w:r w:rsidRPr="00501161">
        <w:rPr>
          <w:rFonts w:ascii="Arial" w:hAnsi="Arial" w:cs="Arial"/>
          <w:sz w:val="22"/>
          <w:szCs w:val="22"/>
        </w:rPr>
        <w:t xml:space="preserve"> </w:t>
      </w:r>
      <w:r w:rsidR="00A25E21">
        <w:rPr>
          <w:rFonts w:ascii="Arial" w:hAnsi="Arial" w:cs="Arial"/>
          <w:sz w:val="22"/>
          <w:szCs w:val="22"/>
        </w:rPr>
        <w:t xml:space="preserve"> </w:t>
      </w:r>
      <w:r w:rsidRPr="00501161">
        <w:rPr>
          <w:rFonts w:ascii="Arial" w:hAnsi="Arial" w:cs="Arial"/>
          <w:sz w:val="22"/>
          <w:szCs w:val="22"/>
        </w:rPr>
        <w:t xml:space="preserve">A $10 fortnightly payment may be more than some insurance contracts would require, especially products designed for low income Australians. Given the essential role insurance plays in protecting assets and livelihoods, the government should review the appropriateness of </w:t>
      </w:r>
      <w:proofErr w:type="spellStart"/>
      <w:r w:rsidRPr="00501161">
        <w:rPr>
          <w:rFonts w:ascii="Arial" w:hAnsi="Arial" w:cs="Arial"/>
          <w:sz w:val="22"/>
          <w:szCs w:val="22"/>
        </w:rPr>
        <w:t>Centrepay’s</w:t>
      </w:r>
      <w:proofErr w:type="spellEnd"/>
      <w:r w:rsidRPr="00501161">
        <w:rPr>
          <w:rFonts w:ascii="Arial" w:hAnsi="Arial" w:cs="Arial"/>
          <w:sz w:val="22"/>
          <w:szCs w:val="22"/>
        </w:rPr>
        <w:t xml:space="preserve"> $10 minimum payment.</w:t>
      </w:r>
    </w:p>
    <w:p w:rsidR="00756B6D" w:rsidRPr="00501161" w:rsidRDefault="00756B6D" w:rsidP="00756B6D">
      <w:pPr>
        <w:rPr>
          <w:rFonts w:ascii="Arial" w:hAnsi="Arial" w:cs="Arial"/>
          <w:sz w:val="22"/>
          <w:szCs w:val="22"/>
        </w:rPr>
      </w:pPr>
    </w:p>
    <w:p w:rsidR="00756B6D" w:rsidRPr="00501161" w:rsidRDefault="00756B6D" w:rsidP="00A25E21">
      <w:pPr>
        <w:spacing w:line="276" w:lineRule="auto"/>
        <w:ind w:right="-96"/>
        <w:jc w:val="both"/>
        <w:rPr>
          <w:rFonts w:ascii="Arial" w:hAnsi="Arial" w:cs="Arial"/>
          <w:sz w:val="22"/>
          <w:szCs w:val="22"/>
        </w:rPr>
      </w:pPr>
      <w:r w:rsidRPr="00501161">
        <w:rPr>
          <w:rFonts w:ascii="Arial" w:hAnsi="Arial" w:cs="Arial"/>
          <w:sz w:val="22"/>
          <w:szCs w:val="22"/>
        </w:rPr>
        <w:t>We are aware that some have suggested this issue could be addressed by allowing consumers to pay $10 per fortnight until the yearly premium is paid, at which point deductions cease</w:t>
      </w:r>
      <w:r w:rsidR="00A25E21">
        <w:rPr>
          <w:rFonts w:ascii="Arial" w:hAnsi="Arial" w:cs="Arial"/>
          <w:sz w:val="22"/>
          <w:szCs w:val="22"/>
        </w:rPr>
        <w:t xml:space="preserve"> until the following year when they re-commence</w:t>
      </w:r>
      <w:r w:rsidRPr="00501161">
        <w:rPr>
          <w:rFonts w:ascii="Arial" w:hAnsi="Arial" w:cs="Arial"/>
          <w:sz w:val="22"/>
          <w:szCs w:val="22"/>
        </w:rPr>
        <w:t>.  However, we feel consumers will better be able to manage their budgets if outgoings for expenses such as insurance are consistent across the year.  In our view, it would administratively simpler for both consumers and insurers to allow Centrepay to process payments of less than $10 per fortnight.</w:t>
      </w:r>
    </w:p>
    <w:p w:rsidR="00756B6D" w:rsidRPr="00501161" w:rsidRDefault="00756B6D" w:rsidP="00A25E21">
      <w:pPr>
        <w:spacing w:line="276" w:lineRule="auto"/>
        <w:ind w:right="-96"/>
        <w:jc w:val="both"/>
        <w:rPr>
          <w:rFonts w:ascii="Arial" w:hAnsi="Arial" w:cs="Arial"/>
          <w:sz w:val="22"/>
          <w:szCs w:val="22"/>
        </w:rPr>
      </w:pPr>
    </w:p>
    <w:p w:rsidR="00756B6D" w:rsidRDefault="00BD57DC" w:rsidP="00A25E21">
      <w:pPr>
        <w:spacing w:line="276" w:lineRule="auto"/>
        <w:ind w:right="-96"/>
        <w:jc w:val="both"/>
        <w:rPr>
          <w:rFonts w:ascii="Arial" w:hAnsi="Arial" w:cs="Arial"/>
          <w:sz w:val="22"/>
          <w:szCs w:val="22"/>
        </w:rPr>
      </w:pPr>
      <w:r>
        <w:rPr>
          <w:rFonts w:ascii="Arial" w:hAnsi="Arial" w:cs="Arial"/>
          <w:sz w:val="22"/>
          <w:szCs w:val="22"/>
        </w:rPr>
        <w:t>To summarise this section, we recommend</w:t>
      </w:r>
      <w:r w:rsidR="00A25E21">
        <w:rPr>
          <w:rFonts w:ascii="Arial" w:hAnsi="Arial" w:cs="Arial"/>
          <w:sz w:val="22"/>
          <w:szCs w:val="22"/>
        </w:rPr>
        <w:t xml:space="preserve"> that:</w:t>
      </w:r>
    </w:p>
    <w:p w:rsidR="00A25E21" w:rsidRPr="00BD57DC" w:rsidRDefault="00A25E21" w:rsidP="00A25E21">
      <w:pPr>
        <w:spacing w:line="276" w:lineRule="auto"/>
        <w:ind w:right="-96"/>
        <w:jc w:val="both"/>
        <w:rPr>
          <w:rFonts w:ascii="Arial" w:hAnsi="Arial" w:cs="Arial"/>
          <w:sz w:val="22"/>
          <w:szCs w:val="22"/>
        </w:rPr>
      </w:pPr>
    </w:p>
    <w:p w:rsidR="00756B6D" w:rsidRPr="00A25E21" w:rsidRDefault="00756B6D" w:rsidP="00A25E21">
      <w:pPr>
        <w:pStyle w:val="BoxText"/>
        <w:numPr>
          <w:ilvl w:val="0"/>
          <w:numId w:val="22"/>
        </w:numPr>
        <w:rPr>
          <w:rFonts w:ascii="Arial" w:hAnsi="Arial" w:cs="Arial"/>
          <w:szCs w:val="22"/>
        </w:rPr>
      </w:pPr>
      <w:r w:rsidRPr="00A25E21">
        <w:rPr>
          <w:rFonts w:ascii="Arial" w:hAnsi="Arial" w:cs="Arial"/>
          <w:szCs w:val="22"/>
        </w:rPr>
        <w:t>should insurers not offer Centrepay as a payment method for basic contents policies for renters and basic motor vehicle insurance policies, the Government should take further steps to require insurers to offer Centrepay either through legislation or the General Insurance Code of Practice</w:t>
      </w:r>
      <w:r w:rsidR="00A25E21">
        <w:rPr>
          <w:rFonts w:ascii="Arial" w:hAnsi="Arial" w:cs="Arial"/>
          <w:szCs w:val="22"/>
        </w:rPr>
        <w:t>;</w:t>
      </w:r>
    </w:p>
    <w:p w:rsidR="00A25E21" w:rsidRDefault="00756B6D" w:rsidP="00A25E21">
      <w:pPr>
        <w:pStyle w:val="BoxText"/>
        <w:numPr>
          <w:ilvl w:val="0"/>
          <w:numId w:val="22"/>
        </w:numPr>
        <w:rPr>
          <w:rFonts w:ascii="Arial" w:hAnsi="Arial" w:cs="Arial"/>
          <w:szCs w:val="22"/>
        </w:rPr>
      </w:pPr>
      <w:r w:rsidRPr="00A25E21">
        <w:rPr>
          <w:rFonts w:ascii="Arial" w:hAnsi="Arial" w:cs="Arial"/>
          <w:szCs w:val="22"/>
        </w:rPr>
        <w:t xml:space="preserve">the </w:t>
      </w:r>
      <w:r w:rsidRPr="00A25E21">
        <w:rPr>
          <w:rFonts w:ascii="Arial" w:hAnsi="Arial" w:cs="Arial"/>
          <w:i/>
          <w:szCs w:val="22"/>
        </w:rPr>
        <w:t>Insurance Contracts Act</w:t>
      </w:r>
      <w:r w:rsidRPr="00A25E21">
        <w:rPr>
          <w:rFonts w:ascii="Arial" w:hAnsi="Arial" w:cs="Arial"/>
          <w:szCs w:val="22"/>
        </w:rPr>
        <w:t xml:space="preserve"> be reviewed so that a consumer who pays a premium in instalments does not have their contract cancelled or a claim denied where non</w:t>
      </w:r>
      <w:r w:rsidR="00A25E21" w:rsidRPr="00A25E21">
        <w:rPr>
          <w:rFonts w:ascii="Arial" w:hAnsi="Arial" w:cs="Arial"/>
          <w:szCs w:val="22"/>
        </w:rPr>
        <w:t>-</w:t>
      </w:r>
      <w:r w:rsidRPr="00A25E21">
        <w:rPr>
          <w:rFonts w:ascii="Arial" w:hAnsi="Arial" w:cs="Arial"/>
          <w:szCs w:val="22"/>
        </w:rPr>
        <w:t>payment of an instalment is due to financial hardship or through no fault of their own</w:t>
      </w:r>
      <w:r w:rsidR="00A25E21" w:rsidRPr="00A25E21">
        <w:rPr>
          <w:rFonts w:ascii="Arial" w:hAnsi="Arial" w:cs="Arial"/>
          <w:szCs w:val="22"/>
        </w:rPr>
        <w:t>; and</w:t>
      </w:r>
    </w:p>
    <w:p w:rsidR="00BD57DC" w:rsidRPr="00A25E21" w:rsidRDefault="00756B6D" w:rsidP="00A25E21">
      <w:pPr>
        <w:pStyle w:val="BoxText"/>
        <w:numPr>
          <w:ilvl w:val="0"/>
          <w:numId w:val="22"/>
        </w:numPr>
        <w:rPr>
          <w:rFonts w:ascii="Arial" w:hAnsi="Arial" w:cs="Arial"/>
          <w:szCs w:val="22"/>
        </w:rPr>
      </w:pPr>
      <w:r w:rsidRPr="00A25E21">
        <w:rPr>
          <w:rFonts w:ascii="Arial" w:hAnsi="Arial" w:cs="Arial"/>
          <w:szCs w:val="22"/>
        </w:rPr>
        <w:t>Centrepay accept fortnightly payments of less than $10</w:t>
      </w:r>
      <w:r w:rsidR="00A25E21" w:rsidRPr="00A25E21">
        <w:rPr>
          <w:rFonts w:ascii="Arial" w:hAnsi="Arial" w:cs="Arial"/>
          <w:szCs w:val="22"/>
        </w:rPr>
        <w:t>.</w:t>
      </w:r>
    </w:p>
    <w:p w:rsidR="00BD57DC" w:rsidRPr="00E129F3" w:rsidRDefault="00BD57DC" w:rsidP="00B70FDB">
      <w:pPr>
        <w:pStyle w:val="Default"/>
        <w:keepNext/>
        <w:jc w:val="both"/>
        <w:rPr>
          <w:b/>
          <w:bCs/>
          <w:color w:val="auto"/>
          <w:sz w:val="28"/>
          <w:szCs w:val="28"/>
        </w:rPr>
      </w:pPr>
      <w:r w:rsidRPr="00E129F3">
        <w:rPr>
          <w:b/>
          <w:bCs/>
          <w:color w:val="auto"/>
          <w:sz w:val="28"/>
          <w:szCs w:val="28"/>
        </w:rPr>
        <w:t xml:space="preserve">Recommendation to commit to comprehensive set of reforms </w:t>
      </w:r>
    </w:p>
    <w:p w:rsidR="00BD57DC" w:rsidRPr="00501161" w:rsidRDefault="00BD57DC" w:rsidP="00B70FDB">
      <w:pPr>
        <w:pStyle w:val="ListParagraph"/>
        <w:keepNext/>
        <w:ind w:left="0"/>
        <w:jc w:val="both"/>
        <w:rPr>
          <w:rFonts w:ascii="Arial" w:hAnsi="Arial" w:cs="Arial"/>
        </w:rPr>
      </w:pPr>
    </w:p>
    <w:p w:rsidR="00BD57DC" w:rsidRDefault="00BD57DC" w:rsidP="00BD57DC">
      <w:pPr>
        <w:pStyle w:val="ListParagraph"/>
        <w:ind w:left="0"/>
        <w:jc w:val="both"/>
        <w:rPr>
          <w:rFonts w:ascii="Arial" w:hAnsi="Arial" w:cs="Arial"/>
        </w:rPr>
      </w:pPr>
      <w:r w:rsidRPr="00501161">
        <w:rPr>
          <w:rFonts w:ascii="Arial" w:hAnsi="Arial" w:cs="Arial"/>
        </w:rPr>
        <w:t>While we welcome the reforms envisaged by the discussion paper, we believe a still more comprehensive set of reforms is</w:t>
      </w:r>
      <w:r w:rsidR="00A25E21">
        <w:rPr>
          <w:rFonts w:ascii="Arial" w:hAnsi="Arial" w:cs="Arial"/>
        </w:rPr>
        <w:t xml:space="preserve"> also</w:t>
      </w:r>
      <w:r w:rsidRPr="00501161">
        <w:rPr>
          <w:rFonts w:ascii="Arial" w:hAnsi="Arial" w:cs="Arial"/>
        </w:rPr>
        <w:t xml:space="preserve"> required.</w:t>
      </w:r>
    </w:p>
    <w:p w:rsidR="00B70FDB" w:rsidRDefault="00B70FDB" w:rsidP="00BD57DC">
      <w:pPr>
        <w:pStyle w:val="ListParagraph"/>
        <w:ind w:left="0"/>
        <w:jc w:val="both"/>
        <w:rPr>
          <w:rFonts w:ascii="Arial" w:hAnsi="Arial" w:cs="Arial"/>
        </w:rPr>
      </w:pPr>
    </w:p>
    <w:p w:rsidR="00E129F3" w:rsidRDefault="00B70FDB" w:rsidP="00BD57DC">
      <w:pPr>
        <w:pStyle w:val="ListParagraph"/>
        <w:ind w:left="0"/>
        <w:jc w:val="both"/>
        <w:rPr>
          <w:rFonts w:ascii="Arial" w:hAnsi="Arial" w:cs="Arial"/>
        </w:rPr>
      </w:pPr>
      <w:r>
        <w:rPr>
          <w:rFonts w:ascii="Arial" w:hAnsi="Arial" w:cs="Arial"/>
        </w:rPr>
        <w:t>First, in our view</w:t>
      </w:r>
      <w:r w:rsidR="00BD57DC" w:rsidRPr="00501161">
        <w:rPr>
          <w:rFonts w:ascii="Arial" w:hAnsi="Arial" w:cs="Arial"/>
        </w:rPr>
        <w:t xml:space="preserve"> much of the recent consumer confusion around flood cover could have been avoided by implementing ASIC's 2000 recommendations on improving disclosure, sales processes and education</w:t>
      </w:r>
      <w:r w:rsidR="00E129F3">
        <w:rPr>
          <w:rFonts w:ascii="Arial" w:hAnsi="Arial" w:cs="Arial"/>
        </w:rPr>
        <w:t>, discussed in detail above in relation to consumer confusion about flood cover.</w:t>
      </w:r>
    </w:p>
    <w:p w:rsidR="00E129F3" w:rsidRDefault="00E129F3" w:rsidP="00BD57DC">
      <w:pPr>
        <w:pStyle w:val="ListParagraph"/>
        <w:ind w:left="0"/>
        <w:jc w:val="both"/>
        <w:rPr>
          <w:rFonts w:ascii="Arial" w:hAnsi="Arial" w:cs="Arial"/>
        </w:rPr>
      </w:pPr>
    </w:p>
    <w:p w:rsidR="00BD57DC" w:rsidRPr="00501161" w:rsidRDefault="00BD57DC" w:rsidP="00BD57DC">
      <w:pPr>
        <w:pStyle w:val="ListParagraph"/>
        <w:ind w:left="0"/>
        <w:jc w:val="both"/>
        <w:rPr>
          <w:rFonts w:ascii="Arial" w:hAnsi="Arial" w:cs="Arial"/>
        </w:rPr>
      </w:pPr>
      <w:r w:rsidRPr="00501161">
        <w:rPr>
          <w:rFonts w:ascii="Arial" w:hAnsi="Arial" w:cs="Arial"/>
        </w:rPr>
        <w:t>Accordingly</w:t>
      </w:r>
      <w:r w:rsidR="008E68F4">
        <w:rPr>
          <w:rFonts w:ascii="Arial" w:hAnsi="Arial" w:cs="Arial"/>
        </w:rPr>
        <w:t>,</w:t>
      </w:r>
      <w:r w:rsidRPr="00501161">
        <w:rPr>
          <w:rFonts w:ascii="Arial" w:hAnsi="Arial" w:cs="Arial"/>
        </w:rPr>
        <w:t xml:space="preserve"> we recommend that the Government commit to implement </w:t>
      </w:r>
      <w:r w:rsidR="00127711">
        <w:rPr>
          <w:rFonts w:ascii="Arial" w:hAnsi="Arial" w:cs="Arial"/>
        </w:rPr>
        <w:t xml:space="preserve">the full suite of </w:t>
      </w:r>
      <w:r w:rsidRPr="00501161">
        <w:rPr>
          <w:rFonts w:ascii="Arial" w:hAnsi="Arial" w:cs="Arial"/>
        </w:rPr>
        <w:t xml:space="preserve">ASIC's </w:t>
      </w:r>
      <w:r w:rsidR="00127711">
        <w:rPr>
          <w:rFonts w:ascii="Arial" w:hAnsi="Arial" w:cs="Arial"/>
        </w:rPr>
        <w:t xml:space="preserve">2000 </w:t>
      </w:r>
      <w:r w:rsidRPr="00501161">
        <w:rPr>
          <w:rFonts w:ascii="Arial" w:hAnsi="Arial" w:cs="Arial"/>
        </w:rPr>
        <w:t>recommendations regarding improving disclosure</w:t>
      </w:r>
      <w:r w:rsidR="008E68F4">
        <w:rPr>
          <w:rFonts w:ascii="Arial" w:hAnsi="Arial" w:cs="Arial"/>
        </w:rPr>
        <w:t>, sales processes and education</w:t>
      </w:r>
      <w:r w:rsidR="00127711">
        <w:rPr>
          <w:rFonts w:ascii="Arial" w:hAnsi="Arial" w:cs="Arial"/>
        </w:rPr>
        <w:t xml:space="preserve"> listed earlier</w:t>
      </w:r>
      <w:r w:rsidR="008E68F4">
        <w:rPr>
          <w:rFonts w:ascii="Arial" w:hAnsi="Arial" w:cs="Arial"/>
        </w:rPr>
        <w:t xml:space="preserve"> (which included but were not limited to a standard definition for flood).</w:t>
      </w:r>
    </w:p>
    <w:p w:rsidR="00BD57DC" w:rsidRPr="00501161" w:rsidRDefault="00BD57DC" w:rsidP="00BD57DC">
      <w:pPr>
        <w:pStyle w:val="ListParagraph"/>
        <w:ind w:left="0"/>
        <w:jc w:val="both"/>
        <w:rPr>
          <w:rFonts w:ascii="Arial" w:hAnsi="Arial" w:cs="Arial"/>
        </w:rPr>
      </w:pPr>
    </w:p>
    <w:p w:rsidR="00BD57DC" w:rsidRPr="00501161" w:rsidRDefault="00B70FDB" w:rsidP="00BD57DC">
      <w:pPr>
        <w:pStyle w:val="ListParagraph"/>
        <w:ind w:left="0"/>
        <w:jc w:val="both"/>
        <w:rPr>
          <w:rFonts w:ascii="Arial" w:hAnsi="Arial" w:cs="Arial"/>
        </w:rPr>
      </w:pPr>
      <w:r>
        <w:rPr>
          <w:rFonts w:ascii="Arial" w:hAnsi="Arial" w:cs="Arial"/>
        </w:rPr>
        <w:t>Secondly, i</w:t>
      </w:r>
      <w:r w:rsidR="00BD57DC" w:rsidRPr="00501161">
        <w:rPr>
          <w:rFonts w:ascii="Arial" w:hAnsi="Arial" w:cs="Arial"/>
        </w:rPr>
        <w:t>n addition to the ASIC recommendations, we recommend that the Australian Government:</w:t>
      </w:r>
    </w:p>
    <w:p w:rsidR="00BD57DC" w:rsidRPr="00501161" w:rsidRDefault="00BD57DC" w:rsidP="00BD57DC">
      <w:pPr>
        <w:pStyle w:val="ListParagraph"/>
        <w:ind w:left="0"/>
        <w:jc w:val="both"/>
        <w:rPr>
          <w:rFonts w:ascii="Arial" w:hAnsi="Arial" w:cs="Arial"/>
        </w:rPr>
      </w:pPr>
    </w:p>
    <w:p w:rsidR="00BD57DC" w:rsidRPr="00501161" w:rsidRDefault="00BD57DC" w:rsidP="00BD57DC">
      <w:pPr>
        <w:pStyle w:val="ListParagraph"/>
        <w:numPr>
          <w:ilvl w:val="0"/>
          <w:numId w:val="30"/>
        </w:numPr>
        <w:jc w:val="both"/>
        <w:rPr>
          <w:rFonts w:ascii="Arial" w:hAnsi="Arial" w:cs="Arial"/>
        </w:rPr>
      </w:pPr>
      <w:r w:rsidRPr="00501161">
        <w:rPr>
          <w:rFonts w:ascii="Arial" w:hAnsi="Arial" w:cs="Arial"/>
        </w:rPr>
        <w:t>Enact Australian Consumer Law unfair terms legislation for consumers of insurance products</w:t>
      </w:r>
      <w:r w:rsidRPr="00501161">
        <w:rPr>
          <w:rStyle w:val="FootnoteReference"/>
          <w:rFonts w:ascii="Arial" w:hAnsi="Arial" w:cs="Arial"/>
        </w:rPr>
        <w:footnoteReference w:id="15"/>
      </w:r>
    </w:p>
    <w:p w:rsidR="00BD57DC" w:rsidRPr="00501161" w:rsidRDefault="00BD57DC" w:rsidP="00BD57DC">
      <w:pPr>
        <w:jc w:val="both"/>
        <w:rPr>
          <w:rFonts w:ascii="Arial" w:hAnsi="Arial" w:cs="Arial"/>
          <w:sz w:val="22"/>
          <w:szCs w:val="22"/>
        </w:rPr>
      </w:pPr>
    </w:p>
    <w:p w:rsidR="00BD57DC" w:rsidRPr="00501161" w:rsidRDefault="00BD57DC" w:rsidP="00BD57DC">
      <w:pPr>
        <w:ind w:left="720"/>
        <w:jc w:val="both"/>
        <w:rPr>
          <w:rFonts w:ascii="Arial" w:hAnsi="Arial" w:cs="Arial"/>
          <w:sz w:val="22"/>
          <w:szCs w:val="22"/>
          <w:lang w:val="en-US"/>
        </w:rPr>
      </w:pPr>
      <w:r w:rsidRPr="00501161">
        <w:rPr>
          <w:rFonts w:ascii="Arial" w:hAnsi="Arial" w:cs="Arial"/>
          <w:sz w:val="22"/>
          <w:szCs w:val="22"/>
          <w:lang w:val="en-US"/>
        </w:rPr>
        <w:t>Unfair terms provisions will, amongst other things, obligate insurers to draft their flood exclusion clauses according to a minimum standard of (objective) fairness.</w:t>
      </w:r>
    </w:p>
    <w:p w:rsidR="00BD57DC" w:rsidRPr="00501161" w:rsidRDefault="00BD57DC" w:rsidP="00BD57DC">
      <w:pPr>
        <w:ind w:left="720"/>
        <w:jc w:val="both"/>
        <w:rPr>
          <w:rFonts w:ascii="Arial" w:hAnsi="Arial" w:cs="Arial"/>
          <w:sz w:val="22"/>
          <w:szCs w:val="22"/>
        </w:rPr>
      </w:pPr>
    </w:p>
    <w:p w:rsidR="00BD57DC" w:rsidRPr="00501161" w:rsidRDefault="002C18B2" w:rsidP="00BD57DC">
      <w:pPr>
        <w:pStyle w:val="ListParagraph"/>
        <w:numPr>
          <w:ilvl w:val="0"/>
          <w:numId w:val="30"/>
        </w:numPr>
        <w:jc w:val="both"/>
        <w:rPr>
          <w:rFonts w:ascii="Arial" w:hAnsi="Arial" w:cs="Arial"/>
        </w:rPr>
      </w:pPr>
      <w:r>
        <w:rPr>
          <w:rFonts w:ascii="Arial" w:hAnsi="Arial" w:cs="Arial"/>
        </w:rPr>
        <w:t>Support the development of</w:t>
      </w:r>
      <w:r w:rsidR="00BD57DC" w:rsidRPr="00501161">
        <w:rPr>
          <w:rFonts w:ascii="Arial" w:hAnsi="Arial" w:cs="Arial"/>
        </w:rPr>
        <w:t xml:space="preserve"> an </w:t>
      </w:r>
      <w:r w:rsidR="00BD57DC" w:rsidRPr="00501161">
        <w:rPr>
          <w:rFonts w:ascii="Arial" w:hAnsi="Arial" w:cs="Arial"/>
          <w:u w:val="single"/>
        </w:rPr>
        <w:t>Australian Standard</w:t>
      </w:r>
      <w:r w:rsidR="00BD57DC" w:rsidRPr="00501161">
        <w:rPr>
          <w:rFonts w:ascii="Arial" w:hAnsi="Arial" w:cs="Arial"/>
        </w:rPr>
        <w:t xml:space="preserve"> for </w:t>
      </w:r>
      <w:r w:rsidR="00127711">
        <w:rPr>
          <w:rFonts w:ascii="Arial" w:hAnsi="Arial" w:cs="Arial"/>
        </w:rPr>
        <w:t xml:space="preserve">general insurance </w:t>
      </w:r>
      <w:r w:rsidR="00BD57DC" w:rsidRPr="00501161">
        <w:rPr>
          <w:rFonts w:ascii="Arial" w:hAnsi="Arial" w:cs="Arial"/>
        </w:rPr>
        <w:t>claims handling</w:t>
      </w:r>
      <w:r w:rsidR="00127711">
        <w:rPr>
          <w:rFonts w:ascii="Arial" w:hAnsi="Arial" w:cs="Arial"/>
        </w:rPr>
        <w:t xml:space="preserve"> and assessment</w:t>
      </w:r>
    </w:p>
    <w:p w:rsidR="00BD57DC" w:rsidRPr="00501161" w:rsidRDefault="00BD57DC" w:rsidP="00BD57DC">
      <w:pPr>
        <w:pStyle w:val="ListParagraph"/>
        <w:jc w:val="both"/>
        <w:rPr>
          <w:rFonts w:ascii="Arial" w:hAnsi="Arial" w:cs="Arial"/>
        </w:rPr>
      </w:pPr>
    </w:p>
    <w:p w:rsidR="002342B3" w:rsidRDefault="00BD57DC" w:rsidP="00BD57DC">
      <w:pPr>
        <w:ind w:left="720"/>
        <w:jc w:val="both"/>
        <w:rPr>
          <w:rFonts w:ascii="Arial" w:hAnsi="Arial" w:cs="Arial"/>
          <w:sz w:val="22"/>
          <w:szCs w:val="22"/>
        </w:rPr>
      </w:pPr>
      <w:r w:rsidRPr="00501161">
        <w:rPr>
          <w:rFonts w:ascii="Arial" w:hAnsi="Arial" w:cs="Arial"/>
          <w:sz w:val="22"/>
          <w:szCs w:val="22"/>
        </w:rPr>
        <w:t xml:space="preserve">There is a long and documented history in this country of consumer concerns regarding claims handling </w:t>
      </w:r>
      <w:r w:rsidR="002342B3">
        <w:rPr>
          <w:rFonts w:ascii="Arial" w:hAnsi="Arial" w:cs="Arial"/>
          <w:sz w:val="22"/>
          <w:szCs w:val="22"/>
        </w:rPr>
        <w:t xml:space="preserve">and assessment </w:t>
      </w:r>
      <w:r w:rsidRPr="00501161">
        <w:rPr>
          <w:rFonts w:ascii="Arial" w:hAnsi="Arial" w:cs="Arial"/>
          <w:sz w:val="22"/>
          <w:szCs w:val="22"/>
        </w:rPr>
        <w:t>in the area of general insurance.</w:t>
      </w:r>
      <w:r w:rsidRPr="00501161">
        <w:rPr>
          <w:rStyle w:val="FootnoteReference"/>
          <w:rFonts w:ascii="Arial" w:hAnsi="Arial" w:cs="Arial"/>
          <w:sz w:val="22"/>
          <w:szCs w:val="22"/>
        </w:rPr>
        <w:footnoteReference w:id="16"/>
      </w:r>
      <w:r w:rsidR="002342B3">
        <w:rPr>
          <w:rFonts w:ascii="Arial" w:hAnsi="Arial" w:cs="Arial"/>
          <w:sz w:val="22"/>
          <w:szCs w:val="22"/>
        </w:rPr>
        <w:t xml:space="preserve"> There is also significant experience within insurers and within the Financial Ombudsman Service's</w:t>
      </w:r>
      <w:r w:rsidR="004566D6">
        <w:rPr>
          <w:rFonts w:ascii="Arial" w:hAnsi="Arial" w:cs="Arial"/>
          <w:sz w:val="22"/>
          <w:szCs w:val="22"/>
        </w:rPr>
        <w:t xml:space="preserve"> (FOS)</w:t>
      </w:r>
      <w:r w:rsidR="002342B3">
        <w:rPr>
          <w:rFonts w:ascii="Arial" w:hAnsi="Arial" w:cs="Arial"/>
          <w:sz w:val="22"/>
          <w:szCs w:val="22"/>
        </w:rPr>
        <w:t xml:space="preserve"> general insurance area regarding</w:t>
      </w:r>
      <w:r w:rsidR="008635C6">
        <w:rPr>
          <w:rFonts w:ascii="Arial" w:hAnsi="Arial" w:cs="Arial"/>
          <w:sz w:val="22"/>
          <w:szCs w:val="22"/>
        </w:rPr>
        <w:t xml:space="preserve"> what constitutes</w:t>
      </w:r>
      <w:r w:rsidR="002342B3">
        <w:rPr>
          <w:rFonts w:ascii="Arial" w:hAnsi="Arial" w:cs="Arial"/>
          <w:sz w:val="22"/>
          <w:szCs w:val="22"/>
        </w:rPr>
        <w:t xml:space="preserve"> best practice in the steps that make up the process of receiving, handling and assessing general insurance claims</w:t>
      </w:r>
      <w:r w:rsidR="008635C6">
        <w:rPr>
          <w:rFonts w:ascii="Arial" w:hAnsi="Arial" w:cs="Arial"/>
          <w:sz w:val="22"/>
          <w:szCs w:val="22"/>
        </w:rPr>
        <w:t>, but this experience has not been extended in any systematic way to standards across the industry more generally</w:t>
      </w:r>
      <w:r w:rsidR="002342B3">
        <w:rPr>
          <w:rFonts w:ascii="Arial" w:hAnsi="Arial" w:cs="Arial"/>
          <w:sz w:val="22"/>
          <w:szCs w:val="22"/>
        </w:rPr>
        <w:t>.</w:t>
      </w:r>
    </w:p>
    <w:p w:rsidR="002342B3" w:rsidRDefault="002342B3" w:rsidP="00BD57DC">
      <w:pPr>
        <w:ind w:left="720"/>
        <w:jc w:val="both"/>
        <w:rPr>
          <w:rFonts w:ascii="Arial" w:hAnsi="Arial" w:cs="Arial"/>
          <w:sz w:val="22"/>
          <w:szCs w:val="22"/>
        </w:rPr>
      </w:pPr>
    </w:p>
    <w:p w:rsidR="00BD57DC" w:rsidRPr="00501161" w:rsidRDefault="00BD57DC" w:rsidP="00BD57DC">
      <w:pPr>
        <w:ind w:left="720"/>
        <w:jc w:val="both"/>
        <w:rPr>
          <w:rFonts w:ascii="Arial" w:hAnsi="Arial" w:cs="Arial"/>
          <w:sz w:val="22"/>
          <w:szCs w:val="22"/>
        </w:rPr>
      </w:pPr>
      <w:r w:rsidRPr="00501161">
        <w:rPr>
          <w:rFonts w:ascii="Arial" w:hAnsi="Arial" w:cs="Arial"/>
          <w:sz w:val="22"/>
          <w:szCs w:val="22"/>
        </w:rPr>
        <w:t xml:space="preserve">Existing </w:t>
      </w:r>
      <w:r w:rsidR="00CB6D9A">
        <w:rPr>
          <w:rFonts w:ascii="Arial" w:hAnsi="Arial" w:cs="Arial"/>
          <w:sz w:val="22"/>
          <w:szCs w:val="22"/>
        </w:rPr>
        <w:t xml:space="preserve">regulation or standards relating to </w:t>
      </w:r>
      <w:r w:rsidRPr="00501161">
        <w:rPr>
          <w:rFonts w:ascii="Arial" w:hAnsi="Arial" w:cs="Arial"/>
          <w:sz w:val="22"/>
          <w:szCs w:val="22"/>
        </w:rPr>
        <w:t>claims handling</w:t>
      </w:r>
      <w:r w:rsidR="00CB6D9A">
        <w:rPr>
          <w:rFonts w:ascii="Arial" w:hAnsi="Arial" w:cs="Arial"/>
          <w:sz w:val="22"/>
          <w:szCs w:val="22"/>
        </w:rPr>
        <w:t>,</w:t>
      </w:r>
      <w:r w:rsidRPr="00501161">
        <w:rPr>
          <w:rFonts w:ascii="Arial" w:hAnsi="Arial" w:cs="Arial"/>
          <w:sz w:val="22"/>
          <w:szCs w:val="22"/>
        </w:rPr>
        <w:t xml:space="preserve"> </w:t>
      </w:r>
      <w:r w:rsidR="00CB6D9A">
        <w:rPr>
          <w:rFonts w:ascii="Arial" w:hAnsi="Arial" w:cs="Arial"/>
          <w:sz w:val="22"/>
          <w:szCs w:val="22"/>
        </w:rPr>
        <w:t>as</w:t>
      </w:r>
      <w:r w:rsidR="00CB6D9A" w:rsidRPr="00501161">
        <w:rPr>
          <w:rFonts w:ascii="Arial" w:hAnsi="Arial" w:cs="Arial"/>
          <w:sz w:val="22"/>
          <w:szCs w:val="22"/>
        </w:rPr>
        <w:t xml:space="preserve"> set out in the General Insurance Code of Practice and ASIC </w:t>
      </w:r>
      <w:r w:rsidR="00CB6D9A">
        <w:rPr>
          <w:rFonts w:ascii="Arial" w:hAnsi="Arial" w:cs="Arial"/>
          <w:sz w:val="22"/>
          <w:szCs w:val="22"/>
        </w:rPr>
        <w:t>Regulatory Guides</w:t>
      </w:r>
      <w:r w:rsidR="00CB6D9A" w:rsidRPr="00501161">
        <w:rPr>
          <w:rFonts w:ascii="Arial" w:hAnsi="Arial" w:cs="Arial"/>
          <w:sz w:val="22"/>
          <w:szCs w:val="22"/>
        </w:rPr>
        <w:t xml:space="preserve"> 165 &amp; 139,</w:t>
      </w:r>
      <w:r w:rsidR="00CB6D9A">
        <w:rPr>
          <w:rFonts w:ascii="Arial" w:hAnsi="Arial" w:cs="Arial"/>
          <w:sz w:val="22"/>
          <w:szCs w:val="22"/>
        </w:rPr>
        <w:t xml:space="preserve"> are limited in scope and coverage of this area, with a much greater focus placed on the standards for complaint handling and dispute resolution (also important)</w:t>
      </w:r>
      <w:r w:rsidR="008635C6">
        <w:rPr>
          <w:rFonts w:ascii="Arial" w:hAnsi="Arial" w:cs="Arial"/>
          <w:sz w:val="22"/>
          <w:szCs w:val="22"/>
        </w:rPr>
        <w:t xml:space="preserve"> than on the </w:t>
      </w:r>
      <w:r w:rsidR="00CB6D9A">
        <w:rPr>
          <w:rFonts w:ascii="Arial" w:hAnsi="Arial" w:cs="Arial"/>
          <w:sz w:val="22"/>
          <w:szCs w:val="22"/>
        </w:rPr>
        <w:t>handling and assessment of claims up to the point that the insurer makes a determination.</w:t>
      </w:r>
      <w:r w:rsidRPr="00501161">
        <w:rPr>
          <w:rFonts w:ascii="Arial" w:hAnsi="Arial" w:cs="Arial"/>
          <w:sz w:val="22"/>
          <w:szCs w:val="22"/>
        </w:rPr>
        <w:t xml:space="preserve"> </w:t>
      </w:r>
      <w:r w:rsidR="00CB6D9A">
        <w:rPr>
          <w:rFonts w:ascii="Arial" w:hAnsi="Arial" w:cs="Arial"/>
          <w:sz w:val="22"/>
          <w:szCs w:val="22"/>
        </w:rPr>
        <w:t xml:space="preserve"> Consequently, they </w:t>
      </w:r>
      <w:r w:rsidRPr="00501161">
        <w:rPr>
          <w:rFonts w:ascii="Arial" w:hAnsi="Arial" w:cs="Arial"/>
          <w:sz w:val="22"/>
          <w:szCs w:val="22"/>
        </w:rPr>
        <w:t xml:space="preserve">do not adequately protect consumers from unfair claims handling </w:t>
      </w:r>
      <w:r w:rsidR="00CB6D9A">
        <w:rPr>
          <w:rFonts w:ascii="Arial" w:hAnsi="Arial" w:cs="Arial"/>
          <w:sz w:val="22"/>
          <w:szCs w:val="22"/>
        </w:rPr>
        <w:t xml:space="preserve">and assessment </w:t>
      </w:r>
      <w:r w:rsidRPr="00501161">
        <w:rPr>
          <w:rFonts w:ascii="Arial" w:hAnsi="Arial" w:cs="Arial"/>
          <w:sz w:val="22"/>
          <w:szCs w:val="22"/>
        </w:rPr>
        <w:t>practices including:</w:t>
      </w:r>
    </w:p>
    <w:p w:rsidR="00BD57DC" w:rsidRPr="00501161" w:rsidRDefault="00BD57DC" w:rsidP="00BD57DC">
      <w:pPr>
        <w:pStyle w:val="ListParagraph"/>
        <w:rPr>
          <w:rFonts w:ascii="Arial" w:hAnsi="Arial" w:cs="Arial"/>
        </w:rPr>
      </w:pPr>
    </w:p>
    <w:p w:rsidR="00BD57DC" w:rsidRPr="00A25E21" w:rsidRDefault="00BD57DC" w:rsidP="00A25E21">
      <w:pPr>
        <w:pStyle w:val="BoxText"/>
        <w:numPr>
          <w:ilvl w:val="0"/>
          <w:numId w:val="22"/>
        </w:numPr>
        <w:ind w:left="1418"/>
        <w:rPr>
          <w:rFonts w:ascii="Arial" w:hAnsi="Arial" w:cs="Arial"/>
          <w:szCs w:val="22"/>
        </w:rPr>
      </w:pPr>
      <w:r w:rsidRPr="00A25E21">
        <w:rPr>
          <w:rFonts w:ascii="Arial" w:hAnsi="Arial" w:cs="Arial"/>
          <w:szCs w:val="22"/>
        </w:rPr>
        <w:t>Misinformation about a consumer's right to lodge a claim</w:t>
      </w:r>
      <w:r w:rsidR="00CB6D9A" w:rsidRPr="00A25E21">
        <w:rPr>
          <w:rFonts w:ascii="Arial" w:hAnsi="Arial" w:cs="Arial"/>
          <w:szCs w:val="22"/>
        </w:rPr>
        <w:t>;</w:t>
      </w:r>
      <w:r w:rsidRPr="00A25E21">
        <w:rPr>
          <w:rFonts w:ascii="Arial" w:hAnsi="Arial" w:cs="Arial"/>
          <w:szCs w:val="22"/>
        </w:rPr>
        <w:t xml:space="preserve"> </w:t>
      </w:r>
    </w:p>
    <w:p w:rsidR="00CB6D9A" w:rsidRPr="00A25E21" w:rsidRDefault="00CB6D9A" w:rsidP="00A25E21">
      <w:pPr>
        <w:pStyle w:val="BoxText"/>
        <w:numPr>
          <w:ilvl w:val="0"/>
          <w:numId w:val="22"/>
        </w:numPr>
        <w:ind w:left="1418"/>
        <w:rPr>
          <w:rFonts w:ascii="Arial" w:hAnsi="Arial" w:cs="Arial"/>
          <w:szCs w:val="22"/>
        </w:rPr>
      </w:pPr>
      <w:r w:rsidRPr="00A25E21">
        <w:rPr>
          <w:rFonts w:ascii="Arial" w:hAnsi="Arial" w:cs="Arial"/>
          <w:szCs w:val="22"/>
        </w:rPr>
        <w:t>Failure to process claims without delay;</w:t>
      </w:r>
    </w:p>
    <w:p w:rsidR="00CB6D9A" w:rsidRPr="00A25E21" w:rsidRDefault="00CB6D9A" w:rsidP="00A25E21">
      <w:pPr>
        <w:pStyle w:val="BoxText"/>
        <w:numPr>
          <w:ilvl w:val="0"/>
          <w:numId w:val="22"/>
        </w:numPr>
        <w:ind w:left="1418"/>
        <w:rPr>
          <w:rFonts w:ascii="Arial" w:hAnsi="Arial" w:cs="Arial"/>
          <w:szCs w:val="22"/>
        </w:rPr>
      </w:pPr>
      <w:r w:rsidRPr="00A25E21">
        <w:rPr>
          <w:rFonts w:ascii="Arial" w:hAnsi="Arial" w:cs="Arial"/>
          <w:szCs w:val="22"/>
        </w:rPr>
        <w:t>Poor practices with regard to the collection and use of evidence, including technical evidence such as hydrologists and lay evidence such as eye witness accounts;</w:t>
      </w:r>
    </w:p>
    <w:p w:rsidR="00CB6D9A" w:rsidRPr="00A25E21" w:rsidRDefault="00CB6D9A" w:rsidP="00A25E21">
      <w:pPr>
        <w:pStyle w:val="BoxText"/>
        <w:numPr>
          <w:ilvl w:val="0"/>
          <w:numId w:val="22"/>
        </w:numPr>
        <w:ind w:left="1418"/>
        <w:rPr>
          <w:rFonts w:ascii="Arial" w:hAnsi="Arial" w:cs="Arial"/>
          <w:szCs w:val="22"/>
        </w:rPr>
      </w:pPr>
      <w:r w:rsidRPr="00A25E21">
        <w:rPr>
          <w:rFonts w:ascii="Arial" w:hAnsi="Arial" w:cs="Arial"/>
          <w:szCs w:val="22"/>
        </w:rPr>
        <w:t>Failure to provide refusal of claims without delay including proper reasons for refusal; and</w:t>
      </w:r>
    </w:p>
    <w:p w:rsidR="00BD57DC" w:rsidRPr="00A25E21" w:rsidRDefault="00BD57DC" w:rsidP="00A25E21">
      <w:pPr>
        <w:pStyle w:val="BoxText"/>
        <w:numPr>
          <w:ilvl w:val="0"/>
          <w:numId w:val="22"/>
        </w:numPr>
        <w:ind w:left="1418"/>
        <w:rPr>
          <w:rFonts w:ascii="Arial" w:hAnsi="Arial" w:cs="Arial"/>
          <w:szCs w:val="22"/>
        </w:rPr>
      </w:pPr>
      <w:r w:rsidRPr="00A25E21">
        <w:rPr>
          <w:rFonts w:ascii="Arial" w:hAnsi="Arial" w:cs="Arial"/>
          <w:szCs w:val="22"/>
        </w:rPr>
        <w:t>Failure to adequately inform consumers of their rights to IDR &amp; EDR in relation to refused claims or claims-related complaints</w:t>
      </w:r>
      <w:r w:rsidR="00CB6D9A" w:rsidRPr="00A25E21">
        <w:rPr>
          <w:rFonts w:ascii="Arial" w:hAnsi="Arial" w:cs="Arial"/>
          <w:szCs w:val="22"/>
        </w:rPr>
        <w:t>.</w:t>
      </w:r>
    </w:p>
    <w:p w:rsidR="008635C6" w:rsidRDefault="00BD57DC" w:rsidP="00183E1F">
      <w:pPr>
        <w:ind w:left="720"/>
        <w:jc w:val="both"/>
        <w:rPr>
          <w:rFonts w:ascii="Arial" w:hAnsi="Arial" w:cs="Arial"/>
          <w:sz w:val="22"/>
          <w:szCs w:val="22"/>
        </w:rPr>
      </w:pPr>
      <w:r w:rsidRPr="00183E1F">
        <w:rPr>
          <w:rFonts w:ascii="Arial" w:hAnsi="Arial" w:cs="Arial"/>
          <w:sz w:val="22"/>
          <w:szCs w:val="22"/>
        </w:rPr>
        <w:lastRenderedPageBreak/>
        <w:t>Consumers should be entitled to minimum standards of fairness and timeliness in the handling of their claims</w:t>
      </w:r>
      <w:r w:rsidR="00CB6D9A" w:rsidRPr="00183E1F">
        <w:rPr>
          <w:rFonts w:ascii="Arial" w:hAnsi="Arial" w:cs="Arial"/>
          <w:sz w:val="22"/>
          <w:szCs w:val="22"/>
        </w:rPr>
        <w:t>, including in the legal and technical assessment of the claim by the insurer</w:t>
      </w:r>
      <w:r w:rsidRPr="00183E1F">
        <w:rPr>
          <w:rFonts w:ascii="Arial" w:hAnsi="Arial" w:cs="Arial"/>
          <w:sz w:val="22"/>
          <w:szCs w:val="22"/>
        </w:rPr>
        <w:t xml:space="preserve">.  </w:t>
      </w:r>
    </w:p>
    <w:p w:rsidR="008635C6" w:rsidRDefault="008635C6" w:rsidP="00183E1F">
      <w:pPr>
        <w:ind w:left="720"/>
        <w:jc w:val="both"/>
        <w:rPr>
          <w:rFonts w:ascii="Arial" w:hAnsi="Arial" w:cs="Arial"/>
          <w:sz w:val="22"/>
          <w:szCs w:val="22"/>
        </w:rPr>
      </w:pPr>
    </w:p>
    <w:p w:rsidR="002C18B2" w:rsidRDefault="008635C6" w:rsidP="00183E1F">
      <w:pPr>
        <w:ind w:left="720"/>
        <w:jc w:val="both"/>
        <w:rPr>
          <w:rFonts w:ascii="Arial" w:hAnsi="Arial" w:cs="Arial"/>
          <w:sz w:val="22"/>
          <w:szCs w:val="22"/>
        </w:rPr>
      </w:pPr>
      <w:r>
        <w:rPr>
          <w:rFonts w:ascii="Arial" w:hAnsi="Arial" w:cs="Arial"/>
          <w:sz w:val="22"/>
          <w:szCs w:val="22"/>
        </w:rPr>
        <w:t>While t</w:t>
      </w:r>
      <w:r w:rsidR="002C18B2">
        <w:rPr>
          <w:rFonts w:ascii="Arial" w:hAnsi="Arial" w:cs="Arial"/>
          <w:sz w:val="22"/>
          <w:szCs w:val="22"/>
        </w:rPr>
        <w:t xml:space="preserve">here is a need for some detail on best practice in these areas, this may be better suited to </w:t>
      </w:r>
      <w:r>
        <w:rPr>
          <w:rFonts w:ascii="Arial" w:hAnsi="Arial" w:cs="Arial"/>
          <w:sz w:val="22"/>
          <w:szCs w:val="22"/>
        </w:rPr>
        <w:t xml:space="preserve">the nature of </w:t>
      </w:r>
      <w:r w:rsidR="002C18B2">
        <w:rPr>
          <w:rFonts w:ascii="Arial" w:hAnsi="Arial" w:cs="Arial"/>
          <w:sz w:val="22"/>
          <w:szCs w:val="22"/>
        </w:rPr>
        <w:t>a technical standard</w:t>
      </w:r>
      <w:r>
        <w:rPr>
          <w:rFonts w:ascii="Arial" w:hAnsi="Arial" w:cs="Arial"/>
          <w:sz w:val="22"/>
          <w:szCs w:val="22"/>
        </w:rPr>
        <w:t>,</w:t>
      </w:r>
      <w:r w:rsidR="002C18B2">
        <w:rPr>
          <w:rFonts w:ascii="Arial" w:hAnsi="Arial" w:cs="Arial"/>
          <w:sz w:val="22"/>
          <w:szCs w:val="22"/>
        </w:rPr>
        <w:t xml:space="preserve"> developed in consultation with all stakeholders, than higher-</w:t>
      </w:r>
      <w:r>
        <w:rPr>
          <w:rFonts w:ascii="Arial" w:hAnsi="Arial" w:cs="Arial"/>
          <w:sz w:val="22"/>
          <w:szCs w:val="22"/>
        </w:rPr>
        <w:t>level legislation or regulation that does not typically go into such detail but can call up technical standards if required.  This is the way in which complaints handling and dispute resolution is now addressed - an Australian Standard on complaints handling has been developed which contains details on best practice, and this standard has then been called up as a regulatory requirement for financial services licensees under ASIC's regulatory guides (as well as being available more generally as a best practice guide to other industries).</w:t>
      </w:r>
    </w:p>
    <w:p w:rsidR="002C18B2" w:rsidRDefault="002C18B2" w:rsidP="00183E1F">
      <w:pPr>
        <w:ind w:left="720"/>
        <w:jc w:val="both"/>
        <w:rPr>
          <w:rFonts w:ascii="Arial" w:hAnsi="Arial" w:cs="Arial"/>
          <w:sz w:val="22"/>
          <w:szCs w:val="22"/>
        </w:rPr>
      </w:pPr>
    </w:p>
    <w:p w:rsidR="00BD57DC" w:rsidRPr="00183E1F" w:rsidRDefault="008635C6" w:rsidP="00183E1F">
      <w:pPr>
        <w:ind w:left="720"/>
        <w:jc w:val="both"/>
        <w:rPr>
          <w:rFonts w:ascii="Arial" w:hAnsi="Arial" w:cs="Arial"/>
          <w:sz w:val="22"/>
          <w:szCs w:val="22"/>
        </w:rPr>
      </w:pPr>
      <w:r>
        <w:rPr>
          <w:rFonts w:ascii="Arial" w:hAnsi="Arial" w:cs="Arial"/>
          <w:sz w:val="22"/>
          <w:szCs w:val="22"/>
        </w:rPr>
        <w:t>We submit that a</w:t>
      </w:r>
      <w:r w:rsidR="00BD57DC" w:rsidRPr="00183E1F">
        <w:rPr>
          <w:rFonts w:ascii="Arial" w:hAnsi="Arial" w:cs="Arial"/>
          <w:sz w:val="22"/>
          <w:szCs w:val="22"/>
        </w:rPr>
        <w:t xml:space="preserve"> new type of standard needs to be developed in Australia which will address longstanding consumer concerns with claims handling</w:t>
      </w:r>
      <w:r w:rsidR="00183E1F">
        <w:rPr>
          <w:rFonts w:ascii="Arial" w:hAnsi="Arial" w:cs="Arial"/>
          <w:sz w:val="22"/>
          <w:szCs w:val="22"/>
        </w:rPr>
        <w:t xml:space="preserve"> and </w:t>
      </w:r>
      <w:r>
        <w:rPr>
          <w:rFonts w:ascii="Arial" w:hAnsi="Arial" w:cs="Arial"/>
          <w:sz w:val="22"/>
          <w:szCs w:val="22"/>
        </w:rPr>
        <w:t xml:space="preserve">will </w:t>
      </w:r>
      <w:r w:rsidR="00183E1F">
        <w:rPr>
          <w:rFonts w:ascii="Arial" w:hAnsi="Arial" w:cs="Arial"/>
          <w:sz w:val="22"/>
          <w:szCs w:val="22"/>
        </w:rPr>
        <w:t>encourage best practice claims assessment by insurers</w:t>
      </w:r>
      <w:r w:rsidR="00BD57DC" w:rsidRPr="00183E1F">
        <w:rPr>
          <w:rFonts w:ascii="Arial" w:hAnsi="Arial" w:cs="Arial"/>
          <w:sz w:val="22"/>
          <w:szCs w:val="22"/>
        </w:rPr>
        <w:t>.</w:t>
      </w:r>
      <w:r w:rsidR="00183E1F">
        <w:rPr>
          <w:rFonts w:ascii="Arial" w:hAnsi="Arial" w:cs="Arial"/>
          <w:sz w:val="22"/>
          <w:szCs w:val="22"/>
        </w:rPr>
        <w:t xml:space="preserve">  Such a standard would also help to guide FOS and its </w:t>
      </w:r>
      <w:r>
        <w:rPr>
          <w:rFonts w:ascii="Arial" w:hAnsi="Arial" w:cs="Arial"/>
          <w:sz w:val="22"/>
          <w:szCs w:val="22"/>
        </w:rPr>
        <w:t>general insurance p</w:t>
      </w:r>
      <w:r w:rsidR="00183E1F">
        <w:rPr>
          <w:rFonts w:ascii="Arial" w:hAnsi="Arial" w:cs="Arial"/>
          <w:sz w:val="22"/>
          <w:szCs w:val="22"/>
        </w:rPr>
        <w:t xml:space="preserve">anel in reviewing insurer-consumer disputes regarding claims handling. </w:t>
      </w:r>
      <w:r w:rsidR="00BD57DC" w:rsidRPr="00183E1F">
        <w:rPr>
          <w:rFonts w:ascii="Arial" w:hAnsi="Arial" w:cs="Arial"/>
          <w:sz w:val="22"/>
          <w:szCs w:val="22"/>
        </w:rPr>
        <w:t xml:space="preserve"> We submit </w:t>
      </w:r>
      <w:r w:rsidR="00183E1F">
        <w:rPr>
          <w:rFonts w:ascii="Arial" w:hAnsi="Arial" w:cs="Arial"/>
          <w:sz w:val="22"/>
          <w:szCs w:val="22"/>
        </w:rPr>
        <w:t xml:space="preserve">that </w:t>
      </w:r>
      <w:r w:rsidR="00BD57DC" w:rsidRPr="00183E1F">
        <w:rPr>
          <w:rFonts w:ascii="Arial" w:hAnsi="Arial" w:cs="Arial"/>
          <w:sz w:val="22"/>
          <w:szCs w:val="22"/>
        </w:rPr>
        <w:t xml:space="preserve">the time has come </w:t>
      </w:r>
      <w:r>
        <w:rPr>
          <w:rFonts w:ascii="Arial" w:hAnsi="Arial" w:cs="Arial"/>
          <w:sz w:val="22"/>
          <w:szCs w:val="22"/>
        </w:rPr>
        <w:t>for the Government to encourage and support the</w:t>
      </w:r>
      <w:r w:rsidR="00BD57DC" w:rsidRPr="00183E1F">
        <w:rPr>
          <w:rFonts w:ascii="Arial" w:hAnsi="Arial" w:cs="Arial"/>
          <w:sz w:val="22"/>
          <w:szCs w:val="22"/>
        </w:rPr>
        <w:t xml:space="preserve"> develop</w:t>
      </w:r>
      <w:r>
        <w:rPr>
          <w:rFonts w:ascii="Arial" w:hAnsi="Arial" w:cs="Arial"/>
          <w:sz w:val="22"/>
          <w:szCs w:val="22"/>
        </w:rPr>
        <w:t>ment</w:t>
      </w:r>
      <w:r w:rsidR="00641818">
        <w:rPr>
          <w:rFonts w:ascii="Arial" w:hAnsi="Arial" w:cs="Arial"/>
          <w:sz w:val="22"/>
          <w:szCs w:val="22"/>
        </w:rPr>
        <w:t>,</w:t>
      </w:r>
      <w:r>
        <w:rPr>
          <w:rFonts w:ascii="Arial" w:hAnsi="Arial" w:cs="Arial"/>
          <w:sz w:val="22"/>
          <w:szCs w:val="22"/>
        </w:rPr>
        <w:t xml:space="preserve"> </w:t>
      </w:r>
      <w:r w:rsidR="00641818">
        <w:rPr>
          <w:rFonts w:ascii="Arial" w:hAnsi="Arial" w:cs="Arial"/>
          <w:sz w:val="22"/>
          <w:szCs w:val="22"/>
        </w:rPr>
        <w:t xml:space="preserve">most likely through Standards Australia, </w:t>
      </w:r>
      <w:r>
        <w:rPr>
          <w:rFonts w:ascii="Arial" w:hAnsi="Arial" w:cs="Arial"/>
          <w:sz w:val="22"/>
          <w:szCs w:val="22"/>
        </w:rPr>
        <w:t>of</w:t>
      </w:r>
      <w:r w:rsidR="00BD57DC" w:rsidRPr="00183E1F">
        <w:rPr>
          <w:rFonts w:ascii="Arial" w:hAnsi="Arial" w:cs="Arial"/>
          <w:sz w:val="22"/>
          <w:szCs w:val="22"/>
        </w:rPr>
        <w:t xml:space="preserve"> an Australian </w:t>
      </w:r>
      <w:r>
        <w:rPr>
          <w:rFonts w:ascii="Arial" w:hAnsi="Arial" w:cs="Arial"/>
          <w:sz w:val="22"/>
          <w:szCs w:val="22"/>
        </w:rPr>
        <w:t>S</w:t>
      </w:r>
      <w:r w:rsidR="00BD57DC" w:rsidRPr="00183E1F">
        <w:rPr>
          <w:rFonts w:ascii="Arial" w:hAnsi="Arial" w:cs="Arial"/>
          <w:sz w:val="22"/>
          <w:szCs w:val="22"/>
        </w:rPr>
        <w:t>tandard for claims handling</w:t>
      </w:r>
      <w:r w:rsidR="00183E1F">
        <w:rPr>
          <w:rFonts w:ascii="Arial" w:hAnsi="Arial" w:cs="Arial"/>
          <w:sz w:val="22"/>
          <w:szCs w:val="22"/>
        </w:rPr>
        <w:t xml:space="preserve"> and assessment</w:t>
      </w:r>
      <w:r>
        <w:rPr>
          <w:rFonts w:ascii="Arial" w:hAnsi="Arial" w:cs="Arial"/>
          <w:sz w:val="22"/>
          <w:szCs w:val="22"/>
        </w:rPr>
        <w:t xml:space="preserve"> in general insurance</w:t>
      </w:r>
      <w:r w:rsidR="00641818">
        <w:rPr>
          <w:rFonts w:ascii="Arial" w:hAnsi="Arial" w:cs="Arial"/>
          <w:sz w:val="22"/>
          <w:szCs w:val="22"/>
        </w:rPr>
        <w:t>.</w:t>
      </w:r>
    </w:p>
    <w:p w:rsidR="00BD57DC" w:rsidRDefault="00BD57DC" w:rsidP="00183E1F">
      <w:pPr>
        <w:ind w:left="720"/>
        <w:jc w:val="both"/>
        <w:rPr>
          <w:rFonts w:ascii="Arial" w:hAnsi="Arial" w:cs="Arial"/>
          <w:sz w:val="22"/>
          <w:szCs w:val="22"/>
        </w:rPr>
      </w:pPr>
    </w:p>
    <w:p w:rsidR="00B70FDB" w:rsidRDefault="00B70FDB" w:rsidP="00443F58">
      <w:pPr>
        <w:spacing w:line="276" w:lineRule="auto"/>
        <w:ind w:right="-96"/>
        <w:jc w:val="both"/>
        <w:rPr>
          <w:rFonts w:ascii="Arial" w:hAnsi="Arial" w:cs="Arial"/>
          <w:sz w:val="22"/>
          <w:szCs w:val="22"/>
        </w:rPr>
      </w:pPr>
      <w:r>
        <w:rPr>
          <w:rFonts w:ascii="Arial" w:hAnsi="Arial" w:cs="Arial"/>
          <w:sz w:val="22"/>
          <w:szCs w:val="22"/>
        </w:rPr>
        <w:t>Finally, we support the</w:t>
      </w:r>
      <w:r w:rsidRPr="00B70FDB">
        <w:rPr>
          <w:rFonts w:ascii="Arial" w:hAnsi="Arial" w:cs="Arial"/>
          <w:sz w:val="22"/>
          <w:szCs w:val="22"/>
        </w:rPr>
        <w:t xml:space="preserve"> </w:t>
      </w:r>
      <w:r>
        <w:rPr>
          <w:rFonts w:ascii="Arial" w:hAnsi="Arial" w:cs="Arial"/>
          <w:sz w:val="22"/>
          <w:szCs w:val="22"/>
        </w:rPr>
        <w:t xml:space="preserve">Government's decision to undertake a more comprehensive </w:t>
      </w:r>
      <w:r w:rsidRPr="00B70FDB">
        <w:rPr>
          <w:rFonts w:ascii="Arial" w:hAnsi="Arial" w:cs="Arial"/>
          <w:sz w:val="22"/>
          <w:szCs w:val="22"/>
        </w:rPr>
        <w:t>Natural Disaster Insurance Review</w:t>
      </w:r>
      <w:r>
        <w:rPr>
          <w:rFonts w:ascii="Arial" w:hAnsi="Arial" w:cs="Arial"/>
          <w:sz w:val="22"/>
          <w:szCs w:val="22"/>
        </w:rPr>
        <w:t xml:space="preserve">, as a full investigation of current problems in the insurance area and possible solutions is required, including how best to address under-insurance and non-insurance for natural disasters.  We submit that our recommendations above </w:t>
      </w:r>
      <w:r w:rsidR="00501980">
        <w:rPr>
          <w:rFonts w:ascii="Arial" w:hAnsi="Arial" w:cs="Arial"/>
          <w:sz w:val="22"/>
          <w:szCs w:val="22"/>
        </w:rPr>
        <w:t>c</w:t>
      </w:r>
      <w:r>
        <w:rPr>
          <w:rFonts w:ascii="Arial" w:hAnsi="Arial" w:cs="Arial"/>
          <w:sz w:val="22"/>
          <w:szCs w:val="22"/>
        </w:rPr>
        <w:t>ould be considered as part of this Review, but we also note that it is important the Review consider and recommend additional reforms.</w:t>
      </w:r>
    </w:p>
    <w:p w:rsidR="00A25E21" w:rsidRDefault="00A25E21" w:rsidP="00443F58">
      <w:pPr>
        <w:spacing w:line="276" w:lineRule="auto"/>
        <w:ind w:right="-96"/>
        <w:jc w:val="both"/>
        <w:rPr>
          <w:rFonts w:ascii="Arial" w:hAnsi="Arial" w:cs="Arial"/>
          <w:sz w:val="22"/>
          <w:szCs w:val="22"/>
        </w:rPr>
      </w:pPr>
    </w:p>
    <w:p w:rsidR="00B70FDB" w:rsidRDefault="00B70FDB" w:rsidP="00443F58">
      <w:pPr>
        <w:spacing w:line="276" w:lineRule="auto"/>
        <w:ind w:right="-96"/>
        <w:jc w:val="both"/>
        <w:rPr>
          <w:rFonts w:ascii="Arial" w:hAnsi="Arial" w:cs="Arial"/>
          <w:sz w:val="22"/>
          <w:szCs w:val="22"/>
        </w:rPr>
      </w:pPr>
    </w:p>
    <w:p w:rsidR="00796E90" w:rsidRDefault="00796E90" w:rsidP="00443F58">
      <w:pPr>
        <w:spacing w:line="276" w:lineRule="auto"/>
        <w:ind w:right="-96"/>
        <w:jc w:val="both"/>
        <w:rPr>
          <w:rFonts w:ascii="Arial" w:hAnsi="Arial" w:cs="Arial"/>
          <w:sz w:val="22"/>
          <w:szCs w:val="22"/>
        </w:rPr>
      </w:pPr>
      <w:r>
        <w:rPr>
          <w:rFonts w:ascii="Arial" w:hAnsi="Arial" w:cs="Arial"/>
          <w:sz w:val="22"/>
          <w:szCs w:val="22"/>
        </w:rPr>
        <w:t xml:space="preserve">Thank you for the opportunity to comment on these proposals.  </w:t>
      </w:r>
      <w:r w:rsidR="006E76FD">
        <w:rPr>
          <w:rFonts w:ascii="Arial" w:hAnsi="Arial" w:cs="Arial"/>
          <w:sz w:val="22"/>
          <w:szCs w:val="22"/>
        </w:rPr>
        <w:t>Please contact us i</w:t>
      </w:r>
      <w:r>
        <w:rPr>
          <w:rFonts w:ascii="Arial" w:hAnsi="Arial" w:cs="Arial"/>
          <w:sz w:val="22"/>
          <w:szCs w:val="22"/>
        </w:rPr>
        <w:t>f you have any questions about this submission</w:t>
      </w:r>
      <w:r w:rsidR="006E76FD">
        <w:rPr>
          <w:rFonts w:ascii="Arial" w:hAnsi="Arial" w:cs="Arial"/>
          <w:sz w:val="22"/>
          <w:szCs w:val="22"/>
        </w:rPr>
        <w:t xml:space="preserve"> - our contact details are set out in the Appendix.</w:t>
      </w:r>
    </w:p>
    <w:p w:rsidR="00BC2F81" w:rsidRDefault="00BC2F81" w:rsidP="00443F58">
      <w:pPr>
        <w:spacing w:line="276" w:lineRule="auto"/>
        <w:ind w:right="-96"/>
        <w:jc w:val="both"/>
        <w:rPr>
          <w:rFonts w:ascii="Arial" w:hAnsi="Arial" w:cs="Arial"/>
          <w:sz w:val="22"/>
          <w:szCs w:val="22"/>
        </w:rPr>
      </w:pPr>
    </w:p>
    <w:p w:rsidR="00532664" w:rsidRDefault="006C1DE9" w:rsidP="00340C86">
      <w:pPr>
        <w:keepNext/>
        <w:spacing w:line="276" w:lineRule="auto"/>
        <w:ind w:right="-96"/>
        <w:jc w:val="both"/>
        <w:rPr>
          <w:rFonts w:ascii="Arial" w:hAnsi="Arial" w:cs="Arial"/>
          <w:sz w:val="22"/>
          <w:szCs w:val="22"/>
        </w:rPr>
      </w:pPr>
      <w:r w:rsidRPr="00501161">
        <w:rPr>
          <w:rFonts w:ascii="Arial" w:hAnsi="Arial" w:cs="Arial"/>
          <w:sz w:val="22"/>
          <w:szCs w:val="22"/>
        </w:rPr>
        <w:t>Yours sincerely</w:t>
      </w:r>
    </w:p>
    <w:p w:rsidR="00D85204" w:rsidRPr="00501161" w:rsidRDefault="00D85204" w:rsidP="00340C86">
      <w:pPr>
        <w:keepNext/>
        <w:spacing w:line="276" w:lineRule="auto"/>
        <w:ind w:right="-96"/>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219"/>
      </w:tblGrid>
      <w:tr w:rsidR="00195CE6" w:rsidTr="003035F9">
        <w:tc>
          <w:tcPr>
            <w:tcW w:w="5353" w:type="dxa"/>
          </w:tcPr>
          <w:p w:rsidR="00D85204" w:rsidRDefault="00D85204" w:rsidP="00443F58">
            <w:pPr>
              <w:spacing w:line="276" w:lineRule="auto"/>
              <w:ind w:right="-96"/>
              <w:rPr>
                <w:rFonts w:ascii="Arial" w:hAnsi="Arial" w:cs="Arial"/>
                <w:sz w:val="22"/>
                <w:szCs w:val="22"/>
                <w:lang w:val="en-US"/>
              </w:rPr>
            </w:pPr>
          </w:p>
          <w:p w:rsidR="00D41954" w:rsidRDefault="00243336" w:rsidP="00443F58">
            <w:pPr>
              <w:spacing w:line="276" w:lineRule="auto"/>
              <w:ind w:right="-96"/>
              <w:rPr>
                <w:rFonts w:ascii="Arial" w:hAnsi="Arial" w:cs="Arial"/>
                <w:sz w:val="22"/>
                <w:szCs w:val="22"/>
                <w:lang w:val="en-US"/>
              </w:rPr>
            </w:pPr>
            <w:r>
              <w:rPr>
                <w:noProof/>
              </w:rPr>
              <w:drawing>
                <wp:inline distT="0" distB="0" distL="0" distR="0">
                  <wp:extent cx="1894285" cy="733647"/>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srcRect/>
                          <a:stretch>
                            <a:fillRect/>
                          </a:stretch>
                        </pic:blipFill>
                        <pic:spPr bwMode="auto">
                          <a:xfrm>
                            <a:off x="0" y="0"/>
                            <a:ext cx="1894672" cy="733797"/>
                          </a:xfrm>
                          <a:prstGeom prst="rect">
                            <a:avLst/>
                          </a:prstGeom>
                          <a:noFill/>
                          <a:ln w="9525">
                            <a:noFill/>
                            <a:miter lim="800000"/>
                            <a:headEnd/>
                            <a:tailEnd/>
                          </a:ln>
                        </pic:spPr>
                      </pic:pic>
                    </a:graphicData>
                  </a:graphic>
                </wp:inline>
              </w:drawing>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Gerard Brody</w:t>
            </w:r>
            <w:r w:rsidR="003035F9">
              <w:rPr>
                <w:rFonts w:ascii="Arial" w:hAnsi="Arial" w:cs="Arial"/>
                <w:sz w:val="22"/>
                <w:szCs w:val="22"/>
                <w:lang w:val="en-US"/>
              </w:rPr>
              <w:t xml:space="preserve">, </w:t>
            </w:r>
            <w:r w:rsidR="00743031">
              <w:rPr>
                <w:rFonts w:ascii="Arial" w:hAnsi="Arial" w:cs="Arial"/>
                <w:sz w:val="22"/>
                <w:szCs w:val="22"/>
                <w:lang w:val="en-US"/>
              </w:rPr>
              <w:t>Senior Manager</w:t>
            </w:r>
            <w:r w:rsidR="003035F9" w:rsidRPr="003035F9">
              <w:rPr>
                <w:rFonts w:ascii="Arial" w:hAnsi="Arial" w:cs="Arial"/>
                <w:sz w:val="22"/>
                <w:szCs w:val="22"/>
                <w:lang w:val="en-US"/>
              </w:rPr>
              <w:t xml:space="preserve"> Financial Inclusion</w:t>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Brotherhood of St Laurence</w:t>
            </w:r>
          </w:p>
        </w:tc>
        <w:tc>
          <w:tcPr>
            <w:tcW w:w="4219" w:type="dxa"/>
          </w:tcPr>
          <w:p w:rsidR="00D85204" w:rsidRDefault="00D85204" w:rsidP="00443F58">
            <w:pPr>
              <w:spacing w:line="276" w:lineRule="auto"/>
              <w:ind w:right="-96"/>
              <w:rPr>
                <w:rFonts w:ascii="Arial" w:hAnsi="Arial" w:cs="Arial"/>
                <w:sz w:val="22"/>
                <w:szCs w:val="22"/>
                <w:lang w:val="en-US"/>
              </w:rPr>
            </w:pPr>
            <w:r>
              <w:rPr>
                <w:rFonts w:ascii="Arial" w:hAnsi="Arial" w:cs="Arial"/>
                <w:noProof/>
                <w:sz w:val="22"/>
                <w:szCs w:val="22"/>
              </w:rPr>
              <w:drawing>
                <wp:inline distT="0" distB="0" distL="0" distR="0">
                  <wp:extent cx="2054299" cy="928832"/>
                  <wp:effectExtent l="19050" t="0" r="3101" b="0"/>
                  <wp:docPr id="11" name="Picture 10" descr="C:\Users\nicole\AppData\Local\Microsoft\Windows\Temporary Internet Files\Content.Outlook\S7QVDQ73\Nick Stace Signature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icole\AppData\Local\Microsoft\Windows\Temporary Internet Files\Content.Outlook\S7QVDQ73\Nick Stace Signature (3).bmp"/>
                          <pic:cNvPicPr>
                            <a:picLocks noChangeAspect="1" noChangeArrowheads="1"/>
                          </pic:cNvPicPr>
                        </pic:nvPicPr>
                        <pic:blipFill>
                          <a:blip r:embed="rId16" cstate="email"/>
                          <a:srcRect/>
                          <a:stretch>
                            <a:fillRect/>
                          </a:stretch>
                        </pic:blipFill>
                        <pic:spPr bwMode="auto">
                          <a:xfrm>
                            <a:off x="0" y="0"/>
                            <a:ext cx="2054299" cy="928832"/>
                          </a:xfrm>
                          <a:prstGeom prst="rect">
                            <a:avLst/>
                          </a:prstGeom>
                          <a:noFill/>
                          <a:ln w="9525">
                            <a:noFill/>
                            <a:miter lim="800000"/>
                            <a:headEnd/>
                            <a:tailEnd/>
                          </a:ln>
                        </pic:spPr>
                      </pic:pic>
                    </a:graphicData>
                  </a:graphic>
                </wp:inline>
              </w:drawing>
            </w:r>
          </w:p>
          <w:p w:rsidR="00195CE6" w:rsidRDefault="00D85204" w:rsidP="00443F58">
            <w:pPr>
              <w:spacing w:line="276" w:lineRule="auto"/>
              <w:ind w:right="-96"/>
              <w:rPr>
                <w:rFonts w:ascii="Arial" w:hAnsi="Arial" w:cs="Arial"/>
                <w:sz w:val="22"/>
                <w:szCs w:val="22"/>
                <w:lang w:val="en-US"/>
              </w:rPr>
            </w:pPr>
            <w:r>
              <w:rPr>
                <w:rFonts w:ascii="Arial" w:hAnsi="Arial" w:cs="Arial"/>
                <w:sz w:val="22"/>
                <w:szCs w:val="22"/>
                <w:lang w:val="en-US"/>
              </w:rPr>
              <w:t>Nick Stace, CEO</w:t>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CHOICE</w:t>
            </w:r>
          </w:p>
        </w:tc>
      </w:tr>
      <w:tr w:rsidR="00195CE6" w:rsidTr="003035F9">
        <w:tc>
          <w:tcPr>
            <w:tcW w:w="5353" w:type="dxa"/>
          </w:tcPr>
          <w:p w:rsidR="00F05A6E" w:rsidRDefault="00F05A6E" w:rsidP="00443F58">
            <w:pPr>
              <w:spacing w:line="276" w:lineRule="auto"/>
              <w:ind w:right="-96"/>
              <w:rPr>
                <w:rFonts w:ascii="Arial" w:hAnsi="Arial" w:cs="Arial"/>
                <w:sz w:val="22"/>
                <w:szCs w:val="22"/>
                <w:lang w:val="en-US"/>
              </w:rPr>
            </w:pPr>
            <w:r w:rsidRPr="00F05A6E">
              <w:rPr>
                <w:rFonts w:ascii="Arial" w:hAnsi="Arial" w:cs="Arial"/>
                <w:noProof/>
                <w:sz w:val="22"/>
                <w:szCs w:val="22"/>
              </w:rPr>
              <w:drawing>
                <wp:inline distT="0" distB="0" distL="0" distR="0">
                  <wp:extent cx="1030578" cy="136972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email"/>
                          <a:srcRect/>
                          <a:stretch>
                            <a:fillRect/>
                          </a:stretch>
                        </pic:blipFill>
                        <pic:spPr bwMode="auto">
                          <a:xfrm>
                            <a:off x="0" y="0"/>
                            <a:ext cx="1030578" cy="1369722"/>
                          </a:xfrm>
                          <a:prstGeom prst="rect">
                            <a:avLst/>
                          </a:prstGeom>
                          <a:noFill/>
                          <a:ln w="9525">
                            <a:noFill/>
                            <a:miter lim="800000"/>
                            <a:headEnd/>
                            <a:tailEnd/>
                          </a:ln>
                        </pic:spPr>
                      </pic:pic>
                    </a:graphicData>
                  </a:graphic>
                </wp:inline>
              </w:drawing>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Catriona Lowe, co-CEO</w:t>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Consumer Action Law Centre</w:t>
            </w:r>
          </w:p>
        </w:tc>
        <w:tc>
          <w:tcPr>
            <w:tcW w:w="4219" w:type="dxa"/>
          </w:tcPr>
          <w:p w:rsidR="00F05A6E" w:rsidRDefault="00F05A6E" w:rsidP="00443F58">
            <w:pPr>
              <w:spacing w:line="276" w:lineRule="auto"/>
              <w:ind w:right="-96"/>
              <w:rPr>
                <w:rFonts w:ascii="Arial" w:hAnsi="Arial" w:cs="Arial"/>
                <w:sz w:val="22"/>
                <w:szCs w:val="22"/>
                <w:lang w:val="en-US"/>
              </w:rPr>
            </w:pPr>
          </w:p>
          <w:p w:rsidR="00D85204" w:rsidRDefault="00D85204" w:rsidP="00443F58">
            <w:pPr>
              <w:spacing w:line="276" w:lineRule="auto"/>
              <w:ind w:right="-96"/>
              <w:rPr>
                <w:rFonts w:ascii="Arial" w:hAnsi="Arial" w:cs="Arial"/>
                <w:sz w:val="22"/>
                <w:szCs w:val="22"/>
                <w:lang w:val="en-US"/>
              </w:rPr>
            </w:pPr>
          </w:p>
          <w:p w:rsidR="00D85204" w:rsidRDefault="00D85204" w:rsidP="00443F58">
            <w:pPr>
              <w:spacing w:line="276" w:lineRule="auto"/>
              <w:ind w:right="-96"/>
              <w:rPr>
                <w:rFonts w:ascii="Arial" w:hAnsi="Arial" w:cs="Arial"/>
                <w:sz w:val="22"/>
                <w:szCs w:val="22"/>
                <w:lang w:val="en-US"/>
              </w:rPr>
            </w:pPr>
          </w:p>
          <w:p w:rsidR="00D85204" w:rsidRDefault="00D85204" w:rsidP="00443F58">
            <w:pPr>
              <w:spacing w:line="276" w:lineRule="auto"/>
              <w:ind w:right="-96"/>
              <w:rPr>
                <w:rFonts w:ascii="Arial" w:hAnsi="Arial" w:cs="Arial"/>
                <w:sz w:val="22"/>
                <w:szCs w:val="22"/>
                <w:lang w:val="en-US"/>
              </w:rPr>
            </w:pPr>
          </w:p>
          <w:p w:rsidR="00D41954" w:rsidRDefault="00D41954" w:rsidP="00443F58">
            <w:pPr>
              <w:spacing w:line="276" w:lineRule="auto"/>
              <w:ind w:right="-96"/>
              <w:rPr>
                <w:rFonts w:ascii="Arial" w:hAnsi="Arial" w:cs="Arial"/>
                <w:sz w:val="22"/>
                <w:szCs w:val="22"/>
                <w:lang w:val="en-US"/>
              </w:rPr>
            </w:pPr>
            <w:r>
              <w:rPr>
                <w:rFonts w:ascii="Arial" w:hAnsi="Arial" w:cs="Arial"/>
                <w:noProof/>
                <w:sz w:val="22"/>
                <w:szCs w:val="22"/>
              </w:rPr>
              <w:drawing>
                <wp:inline distT="0" distB="0" distL="0" distR="0">
                  <wp:extent cx="2562532" cy="659218"/>
                  <wp:effectExtent l="19050" t="0" r="9218"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email"/>
                          <a:srcRect/>
                          <a:stretch>
                            <a:fillRect/>
                          </a:stretch>
                        </pic:blipFill>
                        <pic:spPr bwMode="auto">
                          <a:xfrm>
                            <a:off x="0" y="0"/>
                            <a:ext cx="2563422" cy="659447"/>
                          </a:xfrm>
                          <a:prstGeom prst="rect">
                            <a:avLst/>
                          </a:prstGeom>
                          <a:noFill/>
                          <a:ln w="9525">
                            <a:noFill/>
                            <a:miter lim="800000"/>
                            <a:headEnd/>
                            <a:tailEnd/>
                          </a:ln>
                        </pic:spPr>
                      </pic:pic>
                    </a:graphicData>
                  </a:graphic>
                </wp:inline>
              </w:drawing>
            </w:r>
          </w:p>
          <w:p w:rsidR="00195CE6" w:rsidRDefault="00195CE6" w:rsidP="00443F58">
            <w:pPr>
              <w:spacing w:line="276" w:lineRule="auto"/>
              <w:ind w:right="-96"/>
              <w:rPr>
                <w:rFonts w:ascii="Arial" w:hAnsi="Arial" w:cs="Arial"/>
                <w:sz w:val="22"/>
                <w:szCs w:val="22"/>
                <w:lang w:val="en-US"/>
              </w:rPr>
            </w:pPr>
            <w:r>
              <w:rPr>
                <w:rFonts w:ascii="Arial" w:hAnsi="Arial" w:cs="Arial"/>
                <w:sz w:val="22"/>
                <w:szCs w:val="22"/>
                <w:lang w:val="en-US"/>
              </w:rPr>
              <w:t>Fiona Guthrie, Executive Director</w:t>
            </w:r>
          </w:p>
          <w:p w:rsidR="00195CE6" w:rsidRDefault="00195CE6" w:rsidP="00195CE6">
            <w:pPr>
              <w:spacing w:line="276" w:lineRule="auto"/>
              <w:ind w:right="-96"/>
              <w:rPr>
                <w:rFonts w:ascii="Arial" w:hAnsi="Arial" w:cs="Arial"/>
                <w:sz w:val="22"/>
                <w:szCs w:val="22"/>
                <w:lang w:val="en-US"/>
              </w:rPr>
            </w:pPr>
            <w:r>
              <w:rPr>
                <w:rFonts w:ascii="Arial" w:hAnsi="Arial" w:cs="Arial"/>
                <w:sz w:val="22"/>
                <w:szCs w:val="22"/>
                <w:lang w:val="en-US"/>
              </w:rPr>
              <w:t>Financial Counselling Australia</w:t>
            </w:r>
          </w:p>
        </w:tc>
      </w:tr>
      <w:tr w:rsidR="00195CE6" w:rsidTr="003035F9">
        <w:tc>
          <w:tcPr>
            <w:tcW w:w="5353" w:type="dxa"/>
          </w:tcPr>
          <w:p w:rsidR="00D41954" w:rsidRDefault="00D41954" w:rsidP="00443F58">
            <w:pPr>
              <w:spacing w:line="276" w:lineRule="auto"/>
              <w:ind w:right="-96"/>
              <w:rPr>
                <w:rFonts w:ascii="Arial" w:hAnsi="Arial" w:cs="Arial"/>
                <w:sz w:val="22"/>
                <w:szCs w:val="22"/>
                <w:lang w:val="en-US"/>
              </w:rPr>
            </w:pPr>
          </w:p>
          <w:p w:rsidR="00F50E4C" w:rsidRDefault="00F50E4C" w:rsidP="00443F58">
            <w:pPr>
              <w:spacing w:line="276" w:lineRule="auto"/>
              <w:ind w:right="-96"/>
              <w:rPr>
                <w:rFonts w:ascii="Arial" w:hAnsi="Arial" w:cs="Arial"/>
                <w:sz w:val="22"/>
                <w:szCs w:val="22"/>
                <w:lang w:val="en-US"/>
              </w:rPr>
            </w:pPr>
          </w:p>
          <w:p w:rsidR="002A1DF9" w:rsidRDefault="000928FA" w:rsidP="00443F58">
            <w:pPr>
              <w:spacing w:line="276" w:lineRule="auto"/>
              <w:ind w:right="-96"/>
              <w:rPr>
                <w:rFonts w:ascii="Arial" w:hAnsi="Arial" w:cs="Arial"/>
                <w:sz w:val="22"/>
                <w:szCs w:val="22"/>
                <w:lang w:val="en-US"/>
              </w:rPr>
            </w:pPr>
            <w:r>
              <w:rPr>
                <w:rFonts w:ascii="Arial" w:hAnsi="Arial" w:cs="Arial"/>
                <w:noProof/>
                <w:sz w:val="22"/>
                <w:szCs w:val="22"/>
              </w:rPr>
              <w:drawing>
                <wp:inline distT="0" distB="0" distL="0" distR="0">
                  <wp:extent cx="2337332" cy="711897"/>
                  <wp:effectExtent l="19050" t="0" r="5818" b="0"/>
                  <wp:docPr id="12" name="Picture 2" descr="C:\Users\nicole\AppData\Local\Microsoft\Windows\Temporary Internet Files\Content.Outlook\S7QVDQ73\Denis Nelthorpe - please get authorisation before us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cole\AppData\Local\Microsoft\Windows\Temporary Internet Files\Content.Outlook\S7QVDQ73\Denis Nelthorpe - please get authorisation before use (2).JPG"/>
                          <pic:cNvPicPr>
                            <a:picLocks noChangeAspect="1" noChangeArrowheads="1"/>
                          </pic:cNvPicPr>
                        </pic:nvPicPr>
                        <pic:blipFill>
                          <a:blip r:embed="rId19" cstate="email"/>
                          <a:srcRect/>
                          <a:stretch>
                            <a:fillRect/>
                          </a:stretch>
                        </pic:blipFill>
                        <pic:spPr bwMode="auto">
                          <a:xfrm>
                            <a:off x="0" y="0"/>
                            <a:ext cx="2337046" cy="711810"/>
                          </a:xfrm>
                          <a:prstGeom prst="rect">
                            <a:avLst/>
                          </a:prstGeom>
                          <a:noFill/>
                          <a:ln w="9525">
                            <a:noFill/>
                            <a:miter lim="800000"/>
                            <a:headEnd/>
                            <a:tailEnd/>
                          </a:ln>
                        </pic:spPr>
                      </pic:pic>
                    </a:graphicData>
                  </a:graphic>
                </wp:inline>
              </w:drawing>
            </w:r>
          </w:p>
          <w:p w:rsidR="00195CE6" w:rsidRDefault="00743031" w:rsidP="00443F58">
            <w:pPr>
              <w:spacing w:line="276" w:lineRule="auto"/>
              <w:ind w:right="-96"/>
              <w:rPr>
                <w:rFonts w:ascii="Arial" w:hAnsi="Arial" w:cs="Arial"/>
                <w:sz w:val="22"/>
                <w:szCs w:val="22"/>
                <w:lang w:val="en-US"/>
              </w:rPr>
            </w:pPr>
            <w:r>
              <w:rPr>
                <w:rFonts w:ascii="Arial" w:hAnsi="Arial" w:cs="Arial"/>
                <w:sz w:val="22"/>
                <w:szCs w:val="22"/>
                <w:lang w:val="en-US"/>
              </w:rPr>
              <w:t xml:space="preserve">Denis Nelthorpe, </w:t>
            </w:r>
            <w:r w:rsidR="002278FA">
              <w:rPr>
                <w:rFonts w:ascii="Arial" w:hAnsi="Arial" w:cs="Arial"/>
                <w:sz w:val="22"/>
                <w:szCs w:val="22"/>
                <w:lang w:val="en-US"/>
              </w:rPr>
              <w:t>Manager</w:t>
            </w:r>
          </w:p>
          <w:p w:rsidR="009B41FC" w:rsidRDefault="009B41FC" w:rsidP="00443F58">
            <w:pPr>
              <w:spacing w:line="276" w:lineRule="auto"/>
              <w:ind w:right="-96"/>
              <w:rPr>
                <w:rFonts w:ascii="Arial" w:hAnsi="Arial" w:cs="Arial"/>
                <w:sz w:val="22"/>
                <w:szCs w:val="22"/>
                <w:lang w:val="en-US"/>
              </w:rPr>
            </w:pPr>
            <w:proofErr w:type="spellStart"/>
            <w:r>
              <w:rPr>
                <w:rFonts w:ascii="Arial" w:hAnsi="Arial" w:cs="Arial"/>
                <w:sz w:val="22"/>
                <w:szCs w:val="22"/>
                <w:lang w:val="en-US"/>
              </w:rPr>
              <w:t>Footscray</w:t>
            </w:r>
            <w:proofErr w:type="spellEnd"/>
            <w:r>
              <w:rPr>
                <w:rFonts w:ascii="Arial" w:hAnsi="Arial" w:cs="Arial"/>
                <w:sz w:val="22"/>
                <w:szCs w:val="22"/>
                <w:lang w:val="en-US"/>
              </w:rPr>
              <w:t xml:space="preserve"> Community Legal Centre</w:t>
            </w:r>
          </w:p>
        </w:tc>
        <w:tc>
          <w:tcPr>
            <w:tcW w:w="4219" w:type="dxa"/>
          </w:tcPr>
          <w:p w:rsidR="002A1DF9" w:rsidRDefault="002A1DF9" w:rsidP="00443F58">
            <w:pPr>
              <w:spacing w:line="276" w:lineRule="auto"/>
              <w:ind w:right="-96"/>
              <w:rPr>
                <w:rFonts w:ascii="Arial" w:hAnsi="Arial" w:cs="Arial"/>
                <w:sz w:val="22"/>
                <w:szCs w:val="22"/>
                <w:lang w:val="en-US"/>
              </w:rPr>
            </w:pPr>
          </w:p>
          <w:p w:rsidR="00F50E4C" w:rsidRDefault="001B0B38" w:rsidP="00443F58">
            <w:pPr>
              <w:spacing w:line="276" w:lineRule="auto"/>
              <w:ind w:right="-96"/>
              <w:rPr>
                <w:rFonts w:ascii="Arial" w:hAnsi="Arial" w:cs="Arial"/>
                <w:sz w:val="22"/>
                <w:szCs w:val="22"/>
                <w:lang w:val="en-US"/>
              </w:rPr>
            </w:pPr>
            <w:r>
              <w:rPr>
                <w:noProof/>
                <w:color w:val="1F497D"/>
              </w:rPr>
              <w:drawing>
                <wp:inline distT="0" distB="0" distL="0" distR="0">
                  <wp:extent cx="1845708" cy="882502"/>
                  <wp:effectExtent l="19050" t="0" r="2142" b="0"/>
                  <wp:docPr id="10" name="Picture 1" descr="cid:image004.png@01CC108C.3377D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CC108C.3377D920"/>
                          <pic:cNvPicPr>
                            <a:picLocks noChangeAspect="1" noChangeArrowheads="1"/>
                          </pic:cNvPicPr>
                        </pic:nvPicPr>
                        <pic:blipFill>
                          <a:blip r:embed="rId20" r:link="rId21" cstate="email"/>
                          <a:srcRect/>
                          <a:stretch>
                            <a:fillRect/>
                          </a:stretch>
                        </pic:blipFill>
                        <pic:spPr bwMode="auto">
                          <a:xfrm>
                            <a:off x="0" y="0"/>
                            <a:ext cx="1845549" cy="882426"/>
                          </a:xfrm>
                          <a:prstGeom prst="rect">
                            <a:avLst/>
                          </a:prstGeom>
                          <a:noFill/>
                          <a:ln w="9525">
                            <a:noFill/>
                            <a:miter lim="800000"/>
                            <a:headEnd/>
                            <a:tailEnd/>
                          </a:ln>
                        </pic:spPr>
                      </pic:pic>
                    </a:graphicData>
                  </a:graphic>
                </wp:inline>
              </w:drawing>
            </w:r>
          </w:p>
          <w:p w:rsidR="009B41FC" w:rsidRDefault="009B41FC" w:rsidP="00443F58">
            <w:pPr>
              <w:spacing w:line="276" w:lineRule="auto"/>
              <w:ind w:right="-96"/>
              <w:rPr>
                <w:rFonts w:ascii="Arial" w:hAnsi="Arial" w:cs="Arial"/>
                <w:sz w:val="22"/>
                <w:szCs w:val="22"/>
                <w:lang w:val="en-US"/>
              </w:rPr>
            </w:pPr>
            <w:r>
              <w:rPr>
                <w:rFonts w:ascii="Arial" w:hAnsi="Arial" w:cs="Arial"/>
                <w:sz w:val="22"/>
                <w:szCs w:val="22"/>
                <w:lang w:val="en-US"/>
              </w:rPr>
              <w:t>Katherine Lane, Principal Solicitor</w:t>
            </w:r>
          </w:p>
          <w:p w:rsidR="009B41FC" w:rsidRDefault="009B41FC" w:rsidP="00443F58">
            <w:pPr>
              <w:spacing w:line="276" w:lineRule="auto"/>
              <w:ind w:right="-96"/>
              <w:rPr>
                <w:rFonts w:ascii="Arial" w:hAnsi="Arial" w:cs="Arial"/>
                <w:sz w:val="22"/>
                <w:szCs w:val="22"/>
                <w:lang w:val="en-US"/>
              </w:rPr>
            </w:pPr>
            <w:r>
              <w:rPr>
                <w:rFonts w:ascii="Arial" w:hAnsi="Arial" w:cs="Arial"/>
                <w:sz w:val="22"/>
                <w:szCs w:val="22"/>
                <w:lang w:val="en-US"/>
              </w:rPr>
              <w:t>Insurance Law Service</w:t>
            </w:r>
          </w:p>
        </w:tc>
      </w:tr>
      <w:tr w:rsidR="00195CE6" w:rsidTr="003035F9">
        <w:tc>
          <w:tcPr>
            <w:tcW w:w="5353" w:type="dxa"/>
          </w:tcPr>
          <w:p w:rsidR="00D41954" w:rsidRDefault="00D41954" w:rsidP="009B41FC">
            <w:pPr>
              <w:spacing w:line="276" w:lineRule="auto"/>
              <w:ind w:right="-96"/>
              <w:rPr>
                <w:rFonts w:ascii="Arial" w:hAnsi="Arial" w:cs="Arial"/>
                <w:sz w:val="22"/>
                <w:szCs w:val="22"/>
                <w:lang w:val="en-US"/>
              </w:rPr>
            </w:pPr>
          </w:p>
          <w:p w:rsidR="00F7195E" w:rsidRDefault="00F7195E" w:rsidP="009B41FC">
            <w:pPr>
              <w:spacing w:line="276" w:lineRule="auto"/>
              <w:ind w:right="-96"/>
              <w:rPr>
                <w:rFonts w:ascii="Arial" w:hAnsi="Arial" w:cs="Arial"/>
                <w:sz w:val="22"/>
                <w:szCs w:val="22"/>
                <w:lang w:val="en-US"/>
              </w:rPr>
            </w:pPr>
          </w:p>
          <w:p w:rsidR="00F50E4C" w:rsidRDefault="00F7195E" w:rsidP="009B41FC">
            <w:pPr>
              <w:spacing w:line="276" w:lineRule="auto"/>
              <w:ind w:right="-96"/>
              <w:rPr>
                <w:rFonts w:ascii="Arial" w:hAnsi="Arial" w:cs="Arial"/>
                <w:sz w:val="22"/>
                <w:szCs w:val="22"/>
                <w:lang w:val="en-US"/>
              </w:rPr>
            </w:pPr>
            <w:r>
              <w:rPr>
                <w:rFonts w:ascii="Arial" w:hAnsi="Arial" w:cs="Arial"/>
                <w:noProof/>
              </w:rPr>
              <w:drawing>
                <wp:inline distT="0" distB="0" distL="0" distR="0">
                  <wp:extent cx="3051810" cy="76581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email"/>
                          <a:srcRect/>
                          <a:stretch>
                            <a:fillRect/>
                          </a:stretch>
                        </pic:blipFill>
                        <pic:spPr bwMode="auto">
                          <a:xfrm>
                            <a:off x="0" y="0"/>
                            <a:ext cx="3051810" cy="765810"/>
                          </a:xfrm>
                          <a:prstGeom prst="rect">
                            <a:avLst/>
                          </a:prstGeom>
                          <a:noFill/>
                          <a:ln w="9525">
                            <a:noFill/>
                            <a:miter lim="800000"/>
                            <a:headEnd/>
                            <a:tailEnd/>
                          </a:ln>
                        </pic:spPr>
                      </pic:pic>
                    </a:graphicData>
                  </a:graphic>
                </wp:inline>
              </w:drawing>
            </w:r>
          </w:p>
          <w:p w:rsidR="009B41FC" w:rsidRDefault="00F7195E" w:rsidP="009B41FC">
            <w:pPr>
              <w:spacing w:line="276" w:lineRule="auto"/>
              <w:ind w:right="-96"/>
              <w:rPr>
                <w:rFonts w:ascii="Arial" w:hAnsi="Arial" w:cs="Arial"/>
                <w:sz w:val="22"/>
                <w:szCs w:val="22"/>
                <w:lang w:val="en-US"/>
              </w:rPr>
            </w:pPr>
            <w:r w:rsidRPr="00F7195E">
              <w:rPr>
                <w:rFonts w:ascii="Arial" w:hAnsi="Arial" w:cs="Arial"/>
                <w:sz w:val="22"/>
                <w:szCs w:val="22"/>
                <w:lang w:val="en-US"/>
              </w:rPr>
              <w:t>Andrew Crockett, Chairperson</w:t>
            </w:r>
          </w:p>
          <w:p w:rsidR="00195CE6" w:rsidRDefault="009B41FC" w:rsidP="009B41FC">
            <w:pPr>
              <w:spacing w:line="276" w:lineRule="auto"/>
              <w:ind w:right="-96"/>
              <w:rPr>
                <w:rFonts w:ascii="Arial" w:hAnsi="Arial" w:cs="Arial"/>
                <w:sz w:val="22"/>
                <w:szCs w:val="22"/>
                <w:lang w:val="en-US"/>
              </w:rPr>
            </w:pPr>
            <w:r>
              <w:rPr>
                <w:rFonts w:ascii="Arial" w:hAnsi="Arial" w:cs="Arial"/>
                <w:sz w:val="22"/>
                <w:szCs w:val="22"/>
                <w:lang w:val="en-US"/>
              </w:rPr>
              <w:t>National Legal Aid</w:t>
            </w:r>
          </w:p>
        </w:tc>
        <w:tc>
          <w:tcPr>
            <w:tcW w:w="4219" w:type="dxa"/>
          </w:tcPr>
          <w:p w:rsidR="00195CE6" w:rsidRDefault="00195CE6" w:rsidP="00443F58">
            <w:pPr>
              <w:spacing w:line="276" w:lineRule="auto"/>
              <w:ind w:right="-96"/>
              <w:rPr>
                <w:rFonts w:ascii="Arial" w:hAnsi="Arial" w:cs="Arial"/>
                <w:sz w:val="22"/>
                <w:szCs w:val="22"/>
                <w:lang w:val="en-US"/>
              </w:rPr>
            </w:pPr>
          </w:p>
        </w:tc>
      </w:tr>
    </w:tbl>
    <w:p w:rsidR="00532664" w:rsidRPr="00501161" w:rsidRDefault="00532664" w:rsidP="00443F58">
      <w:pPr>
        <w:spacing w:line="276" w:lineRule="auto"/>
        <w:ind w:right="-96"/>
        <w:rPr>
          <w:rFonts w:ascii="Arial" w:hAnsi="Arial" w:cs="Arial"/>
          <w:sz w:val="22"/>
          <w:szCs w:val="22"/>
          <w:lang w:val="en-US"/>
        </w:rPr>
      </w:pPr>
    </w:p>
    <w:p w:rsidR="002E17BA" w:rsidRPr="00501161" w:rsidRDefault="002E17BA">
      <w:pPr>
        <w:rPr>
          <w:rFonts w:ascii="Arial" w:hAnsi="Arial" w:cs="Arial"/>
          <w:sz w:val="22"/>
          <w:szCs w:val="22"/>
          <w:lang w:val="en-US"/>
        </w:rPr>
      </w:pPr>
      <w:r w:rsidRPr="00501161">
        <w:rPr>
          <w:rFonts w:ascii="Arial" w:hAnsi="Arial" w:cs="Arial"/>
          <w:sz w:val="22"/>
          <w:szCs w:val="22"/>
          <w:lang w:val="en-US"/>
        </w:rPr>
        <w:br w:type="page"/>
      </w:r>
    </w:p>
    <w:p w:rsidR="002E17BA" w:rsidRPr="00501161" w:rsidRDefault="002E17BA" w:rsidP="007C3A73">
      <w:pPr>
        <w:spacing w:line="276" w:lineRule="auto"/>
        <w:ind w:right="-96"/>
        <w:jc w:val="both"/>
        <w:rPr>
          <w:rFonts w:ascii="Arial" w:hAnsi="Arial" w:cs="Arial"/>
          <w:b/>
          <w:sz w:val="22"/>
          <w:szCs w:val="22"/>
          <w:lang w:val="en-US"/>
        </w:rPr>
      </w:pPr>
      <w:r w:rsidRPr="00501161">
        <w:rPr>
          <w:rFonts w:ascii="Arial" w:hAnsi="Arial" w:cs="Arial"/>
          <w:b/>
          <w:sz w:val="22"/>
          <w:szCs w:val="22"/>
          <w:lang w:val="en-US"/>
        </w:rPr>
        <w:lastRenderedPageBreak/>
        <w:t>Appendix - About the Contributors</w:t>
      </w:r>
    </w:p>
    <w:p w:rsidR="002E17BA" w:rsidRPr="00501161" w:rsidRDefault="002E17BA" w:rsidP="007C3A73">
      <w:pPr>
        <w:spacing w:line="276" w:lineRule="auto"/>
        <w:ind w:right="-96"/>
        <w:jc w:val="both"/>
        <w:rPr>
          <w:rFonts w:ascii="Arial" w:hAnsi="Arial" w:cs="Arial"/>
          <w:b/>
          <w:sz w:val="22"/>
          <w:szCs w:val="22"/>
          <w:lang w:val="en-US"/>
        </w:rPr>
      </w:pPr>
    </w:p>
    <w:p w:rsidR="00694B7A" w:rsidRPr="00694B7A" w:rsidRDefault="00694B7A" w:rsidP="007C3A73">
      <w:pPr>
        <w:spacing w:line="276" w:lineRule="auto"/>
        <w:ind w:right="-96"/>
        <w:jc w:val="both"/>
        <w:rPr>
          <w:rFonts w:ascii="Arial" w:hAnsi="Arial" w:cs="Arial"/>
          <w:b/>
          <w:sz w:val="22"/>
          <w:szCs w:val="22"/>
        </w:rPr>
      </w:pPr>
      <w:r w:rsidRPr="00694B7A">
        <w:rPr>
          <w:rFonts w:ascii="Arial" w:hAnsi="Arial" w:cs="Arial"/>
          <w:b/>
          <w:sz w:val="22"/>
          <w:szCs w:val="22"/>
        </w:rPr>
        <w:t>Brotherhood of St Laurence</w:t>
      </w:r>
    </w:p>
    <w:p w:rsidR="00694B7A" w:rsidRDefault="00694B7A" w:rsidP="007C3A73">
      <w:pPr>
        <w:spacing w:line="276" w:lineRule="auto"/>
        <w:ind w:right="-96"/>
        <w:jc w:val="both"/>
        <w:rPr>
          <w:rFonts w:ascii="Arial" w:hAnsi="Arial" w:cs="Arial"/>
          <w:sz w:val="22"/>
          <w:szCs w:val="22"/>
        </w:rPr>
      </w:pPr>
    </w:p>
    <w:p w:rsidR="00694B7A" w:rsidRDefault="008E4A6A" w:rsidP="007C3A73">
      <w:pPr>
        <w:spacing w:line="276" w:lineRule="auto"/>
        <w:ind w:right="-96"/>
        <w:jc w:val="both"/>
        <w:rPr>
          <w:rFonts w:ascii="Arial" w:hAnsi="Arial" w:cs="Arial"/>
          <w:sz w:val="22"/>
          <w:szCs w:val="22"/>
        </w:rPr>
      </w:pPr>
      <w:r w:rsidRPr="008E4A6A">
        <w:rPr>
          <w:rFonts w:ascii="Arial" w:hAnsi="Arial" w:cs="Arial"/>
          <w:sz w:val="22"/>
          <w:szCs w:val="22"/>
        </w:rPr>
        <w:t>The Brotherhood of St Laurence is an independent non-government organisation with strong community links that has been working to reduce poverty in Australia since the 1930s. Based in Melbourne, but with a national profile, the Brotherhood continues to fight for an Australia free of poverty, guided by principles of advocacy, innovation and sustainability. Our work includes direct service provision to people in need, the development of social enterprises to address inequality, research to better understand the causes and effects of poverty in Australia, and the development of policy solutions at both national and local levels.</w:t>
      </w:r>
    </w:p>
    <w:p w:rsidR="00694B7A" w:rsidRDefault="00694B7A" w:rsidP="007C3A73">
      <w:pPr>
        <w:spacing w:line="276" w:lineRule="auto"/>
        <w:ind w:right="-96"/>
        <w:jc w:val="both"/>
        <w:rPr>
          <w:rFonts w:ascii="Arial" w:hAnsi="Arial" w:cs="Arial"/>
          <w:sz w:val="22"/>
          <w:szCs w:val="22"/>
        </w:rPr>
      </w:pPr>
    </w:p>
    <w:p w:rsidR="00694B7A" w:rsidRDefault="008E4A6A" w:rsidP="008E4A6A">
      <w:pPr>
        <w:spacing w:line="276" w:lineRule="auto"/>
        <w:ind w:right="-96"/>
        <w:jc w:val="both"/>
        <w:rPr>
          <w:rFonts w:ascii="Arial" w:hAnsi="Arial" w:cs="Arial"/>
          <w:sz w:val="22"/>
          <w:szCs w:val="22"/>
        </w:rPr>
      </w:pPr>
      <w:r>
        <w:rPr>
          <w:rFonts w:ascii="Arial" w:hAnsi="Arial" w:cs="Arial"/>
          <w:sz w:val="22"/>
          <w:szCs w:val="22"/>
        </w:rPr>
        <w:t xml:space="preserve">Contact: Gerard Brody, </w:t>
      </w:r>
      <w:r w:rsidRPr="008E4A6A">
        <w:rPr>
          <w:rFonts w:ascii="Arial" w:hAnsi="Arial" w:cs="Arial"/>
          <w:sz w:val="22"/>
          <w:szCs w:val="22"/>
        </w:rPr>
        <w:t>Senio</w:t>
      </w:r>
      <w:r>
        <w:rPr>
          <w:rFonts w:ascii="Arial" w:hAnsi="Arial" w:cs="Arial"/>
          <w:sz w:val="22"/>
          <w:szCs w:val="22"/>
        </w:rPr>
        <w:t xml:space="preserve">r Manager Financial Inclusion, </w:t>
      </w:r>
      <w:r w:rsidRPr="008E4A6A">
        <w:rPr>
          <w:rFonts w:ascii="Arial" w:hAnsi="Arial" w:cs="Arial"/>
          <w:sz w:val="22"/>
          <w:szCs w:val="22"/>
        </w:rPr>
        <w:t xml:space="preserve">03 9445 2425 </w:t>
      </w:r>
      <w:r>
        <w:rPr>
          <w:rFonts w:ascii="Arial" w:hAnsi="Arial" w:cs="Arial"/>
          <w:sz w:val="22"/>
          <w:szCs w:val="22"/>
        </w:rPr>
        <w:t xml:space="preserve">or </w:t>
      </w:r>
      <w:r w:rsidRPr="008E4A6A">
        <w:rPr>
          <w:rFonts w:ascii="Arial" w:hAnsi="Arial" w:cs="Arial"/>
          <w:sz w:val="22"/>
          <w:szCs w:val="22"/>
        </w:rPr>
        <w:t>gbrody@bsl.org.au</w:t>
      </w:r>
    </w:p>
    <w:p w:rsidR="00694B7A" w:rsidRPr="008E4A6A" w:rsidRDefault="00694B7A" w:rsidP="007C3A73">
      <w:pPr>
        <w:spacing w:line="276" w:lineRule="auto"/>
        <w:ind w:right="-96"/>
        <w:jc w:val="both"/>
        <w:rPr>
          <w:rFonts w:ascii="Arial" w:hAnsi="Arial" w:cs="Arial"/>
          <w:sz w:val="22"/>
          <w:szCs w:val="22"/>
        </w:rPr>
      </w:pPr>
    </w:p>
    <w:p w:rsidR="00B67578" w:rsidRDefault="00B67578" w:rsidP="007C3A73">
      <w:pPr>
        <w:spacing w:line="276" w:lineRule="auto"/>
        <w:ind w:right="-96"/>
        <w:jc w:val="both"/>
        <w:rPr>
          <w:rFonts w:ascii="Arial" w:hAnsi="Arial" w:cs="Arial"/>
          <w:b/>
          <w:sz w:val="22"/>
          <w:szCs w:val="22"/>
        </w:rPr>
      </w:pPr>
      <w:r w:rsidRPr="00B67578">
        <w:rPr>
          <w:rFonts w:ascii="Arial" w:hAnsi="Arial" w:cs="Arial"/>
          <w:b/>
          <w:sz w:val="22"/>
          <w:szCs w:val="22"/>
        </w:rPr>
        <w:t xml:space="preserve">CHOICE </w:t>
      </w:r>
    </w:p>
    <w:p w:rsidR="00B67578" w:rsidRDefault="00B67578" w:rsidP="007C3A73">
      <w:pPr>
        <w:spacing w:line="276" w:lineRule="auto"/>
        <w:ind w:right="-96"/>
        <w:jc w:val="both"/>
        <w:rPr>
          <w:rFonts w:ascii="Arial" w:hAnsi="Arial" w:cs="Arial"/>
          <w:b/>
          <w:sz w:val="22"/>
          <w:szCs w:val="22"/>
        </w:rPr>
      </w:pPr>
    </w:p>
    <w:p w:rsidR="00B67578" w:rsidRDefault="00B67578" w:rsidP="007C3A73">
      <w:pPr>
        <w:spacing w:line="276" w:lineRule="auto"/>
        <w:ind w:right="-96"/>
        <w:jc w:val="both"/>
        <w:rPr>
          <w:rFonts w:ascii="Arial" w:hAnsi="Arial" w:cs="Arial"/>
          <w:sz w:val="22"/>
          <w:szCs w:val="22"/>
        </w:rPr>
      </w:pPr>
      <w:r w:rsidRPr="00B67578">
        <w:rPr>
          <w:rFonts w:ascii="Arial" w:hAnsi="Arial" w:cs="Arial"/>
          <w:sz w:val="22"/>
          <w:szCs w:val="22"/>
        </w:rPr>
        <w:t>CHOICE exists to unlock the power of consumers. Our vision is for Australians to be the most savvy and active consumers in the world.</w:t>
      </w:r>
    </w:p>
    <w:p w:rsidR="00B67578" w:rsidRPr="00B67578" w:rsidRDefault="00B67578" w:rsidP="007C3A73">
      <w:pPr>
        <w:spacing w:line="276" w:lineRule="auto"/>
        <w:ind w:right="-96"/>
        <w:jc w:val="both"/>
        <w:rPr>
          <w:rFonts w:ascii="Arial" w:hAnsi="Arial" w:cs="Arial"/>
          <w:sz w:val="22"/>
          <w:szCs w:val="22"/>
        </w:rPr>
      </w:pPr>
    </w:p>
    <w:p w:rsidR="00B67578" w:rsidRDefault="00B67578" w:rsidP="007C3A73">
      <w:pPr>
        <w:spacing w:line="276" w:lineRule="auto"/>
        <w:ind w:right="-96"/>
        <w:jc w:val="both"/>
        <w:rPr>
          <w:rFonts w:ascii="Arial" w:hAnsi="Arial" w:cs="Arial"/>
          <w:sz w:val="22"/>
          <w:szCs w:val="22"/>
        </w:rPr>
      </w:pPr>
      <w:r w:rsidRPr="00B67578">
        <w:rPr>
          <w:rFonts w:ascii="Arial" w:hAnsi="Arial" w:cs="Arial"/>
          <w:sz w:val="22"/>
          <w:szCs w:val="22"/>
        </w:rPr>
        <w:t>As a social enterprise we do this by providing clear information, advice and support on consumer goods and services; by taking action with consumers against bad practice wherever it may exist; and by fearlessly speaking out to promote consumers’ interests – ensuring the consumer voice is heard clearly, loudly and cogently in corporations and in governments</w:t>
      </w:r>
      <w:r>
        <w:rPr>
          <w:rFonts w:ascii="Arial" w:hAnsi="Arial" w:cs="Arial"/>
          <w:sz w:val="22"/>
          <w:szCs w:val="22"/>
        </w:rPr>
        <w:t>.</w:t>
      </w:r>
    </w:p>
    <w:p w:rsidR="00457312" w:rsidRDefault="00457312" w:rsidP="007C3A73">
      <w:pPr>
        <w:spacing w:line="276" w:lineRule="auto"/>
        <w:ind w:right="-96"/>
        <w:jc w:val="both"/>
        <w:rPr>
          <w:rFonts w:ascii="Arial" w:hAnsi="Arial" w:cs="Arial"/>
          <w:sz w:val="22"/>
          <w:szCs w:val="22"/>
        </w:rPr>
      </w:pPr>
    </w:p>
    <w:p w:rsidR="00457312" w:rsidRDefault="00457312" w:rsidP="007C3A73">
      <w:pPr>
        <w:spacing w:line="276" w:lineRule="auto"/>
        <w:ind w:right="-96"/>
        <w:jc w:val="both"/>
        <w:rPr>
          <w:rFonts w:ascii="Arial" w:hAnsi="Arial" w:cs="Arial"/>
          <w:sz w:val="22"/>
          <w:szCs w:val="22"/>
        </w:rPr>
      </w:pPr>
      <w:r w:rsidRPr="00457312">
        <w:rPr>
          <w:rFonts w:ascii="Arial" w:hAnsi="Arial" w:cs="Arial"/>
          <w:sz w:val="22"/>
          <w:szCs w:val="22"/>
        </w:rPr>
        <w:t>C</w:t>
      </w:r>
      <w:r>
        <w:rPr>
          <w:rFonts w:ascii="Arial" w:hAnsi="Arial" w:cs="Arial"/>
          <w:sz w:val="22"/>
          <w:szCs w:val="22"/>
        </w:rPr>
        <w:t>ontact:</w:t>
      </w:r>
      <w:r w:rsidRPr="00457312">
        <w:rPr>
          <w:rFonts w:ascii="Arial" w:hAnsi="Arial" w:cs="Arial"/>
          <w:sz w:val="22"/>
          <w:szCs w:val="22"/>
        </w:rPr>
        <w:t xml:space="preserve"> Katrina Lee, </w:t>
      </w:r>
      <w:r>
        <w:rPr>
          <w:rFonts w:ascii="Arial" w:hAnsi="Arial" w:cs="Arial"/>
          <w:sz w:val="22"/>
          <w:szCs w:val="22"/>
        </w:rPr>
        <w:t xml:space="preserve">Strategic Policy Adviser, </w:t>
      </w:r>
      <w:r w:rsidRPr="00457312">
        <w:rPr>
          <w:rFonts w:ascii="Arial" w:hAnsi="Arial" w:cs="Arial"/>
          <w:sz w:val="22"/>
          <w:szCs w:val="22"/>
        </w:rPr>
        <w:t xml:space="preserve">02 9577 3347 </w:t>
      </w:r>
      <w:r>
        <w:rPr>
          <w:rFonts w:ascii="Arial" w:hAnsi="Arial" w:cs="Arial"/>
          <w:sz w:val="22"/>
          <w:szCs w:val="22"/>
        </w:rPr>
        <w:t xml:space="preserve">or </w:t>
      </w:r>
      <w:r w:rsidRPr="00457312">
        <w:rPr>
          <w:rFonts w:ascii="Arial" w:hAnsi="Arial" w:cs="Arial"/>
          <w:sz w:val="22"/>
          <w:szCs w:val="22"/>
        </w:rPr>
        <w:t>klee@choice.com.au</w:t>
      </w:r>
    </w:p>
    <w:p w:rsidR="00B67578" w:rsidRPr="00B67578" w:rsidRDefault="00B67578" w:rsidP="007C3A73">
      <w:pPr>
        <w:spacing w:line="276" w:lineRule="auto"/>
        <w:ind w:right="-96"/>
        <w:jc w:val="both"/>
        <w:rPr>
          <w:rFonts w:ascii="Arial" w:hAnsi="Arial" w:cs="Arial"/>
          <w:sz w:val="22"/>
          <w:szCs w:val="22"/>
        </w:rPr>
      </w:pPr>
    </w:p>
    <w:p w:rsidR="002E17BA" w:rsidRPr="00501161" w:rsidRDefault="002E17BA" w:rsidP="007C3A73">
      <w:pPr>
        <w:spacing w:line="276" w:lineRule="auto"/>
        <w:ind w:right="-96"/>
        <w:jc w:val="both"/>
        <w:rPr>
          <w:rFonts w:ascii="Arial" w:hAnsi="Arial" w:cs="Arial"/>
          <w:b/>
          <w:sz w:val="22"/>
          <w:szCs w:val="22"/>
        </w:rPr>
      </w:pPr>
      <w:r w:rsidRPr="00501161">
        <w:rPr>
          <w:rFonts w:ascii="Arial" w:hAnsi="Arial" w:cs="Arial"/>
          <w:b/>
          <w:sz w:val="22"/>
          <w:szCs w:val="22"/>
        </w:rPr>
        <w:t>Consumer Action Law Centre</w:t>
      </w:r>
    </w:p>
    <w:p w:rsidR="002E17BA" w:rsidRPr="00501161" w:rsidRDefault="002E17BA" w:rsidP="007C3A73">
      <w:pPr>
        <w:spacing w:line="276" w:lineRule="auto"/>
        <w:ind w:right="-96"/>
        <w:jc w:val="both"/>
        <w:rPr>
          <w:rFonts w:ascii="Arial" w:hAnsi="Arial" w:cs="Arial"/>
          <w:sz w:val="22"/>
          <w:szCs w:val="22"/>
        </w:rPr>
      </w:pPr>
    </w:p>
    <w:p w:rsidR="002E17BA" w:rsidRPr="00501161" w:rsidRDefault="002E17BA" w:rsidP="007C3A73">
      <w:pPr>
        <w:spacing w:line="276" w:lineRule="auto"/>
        <w:ind w:right="-96"/>
        <w:jc w:val="both"/>
        <w:rPr>
          <w:rFonts w:ascii="Arial" w:hAnsi="Arial" w:cs="Arial"/>
          <w:sz w:val="22"/>
          <w:szCs w:val="22"/>
        </w:rPr>
      </w:pPr>
      <w:r w:rsidRPr="00501161">
        <w:rPr>
          <w:rFonts w:ascii="Arial" w:hAnsi="Arial" w:cs="Arial"/>
          <w:sz w:val="22"/>
          <w:szCs w:val="22"/>
        </w:rPr>
        <w:t>Consumer Action is an independent, not-for-profit, campaign-focused casework and policy organisation.  Consumer Action provides free legal advice and representation to vulnerable and disadvantaged consumers across Victoria, and is the largest specialist consumer legal practice in Australia.  Consumer Action is also a nationally-recognised and influential policy and research body, pursuing a law reform agenda across a range of important consumer issues at a governmental level, in the media, and in the community directly.</w:t>
      </w:r>
    </w:p>
    <w:p w:rsidR="002E17BA" w:rsidRPr="00501161" w:rsidRDefault="002E17BA" w:rsidP="007C3A73">
      <w:pPr>
        <w:spacing w:line="276" w:lineRule="auto"/>
        <w:ind w:right="-96"/>
        <w:jc w:val="both"/>
        <w:rPr>
          <w:rFonts w:ascii="Arial" w:hAnsi="Arial" w:cs="Arial"/>
          <w:sz w:val="22"/>
          <w:szCs w:val="22"/>
        </w:rPr>
      </w:pPr>
    </w:p>
    <w:p w:rsidR="002E17BA" w:rsidRDefault="002E17BA" w:rsidP="007C3A73">
      <w:pPr>
        <w:spacing w:line="276" w:lineRule="auto"/>
        <w:ind w:right="-96"/>
        <w:jc w:val="both"/>
        <w:rPr>
          <w:rFonts w:ascii="Arial" w:hAnsi="Arial" w:cs="Arial"/>
          <w:sz w:val="22"/>
          <w:szCs w:val="22"/>
        </w:rPr>
      </w:pPr>
      <w:r w:rsidRPr="00501161">
        <w:rPr>
          <w:rFonts w:ascii="Arial" w:hAnsi="Arial" w:cs="Arial"/>
          <w:sz w:val="22"/>
          <w:szCs w:val="22"/>
        </w:rPr>
        <w:t xml:space="preserve">Since September 2009 we have also operated a new service, </w:t>
      </w:r>
      <w:proofErr w:type="spellStart"/>
      <w:r w:rsidRPr="00501161">
        <w:rPr>
          <w:rFonts w:ascii="Arial" w:hAnsi="Arial" w:cs="Arial"/>
          <w:sz w:val="22"/>
          <w:szCs w:val="22"/>
        </w:rPr>
        <w:t>MoneyHelp</w:t>
      </w:r>
      <w:proofErr w:type="spellEnd"/>
      <w:r w:rsidRPr="00501161">
        <w:rPr>
          <w:rFonts w:ascii="Arial" w:hAnsi="Arial" w:cs="Arial"/>
          <w:sz w:val="22"/>
          <w:szCs w:val="22"/>
        </w:rPr>
        <w:t>, a not-for-profit financial counselling service funded by the Victorian Government to provide free, confidential and independent financial advice to Victorians with changed financial circumstances due to job loss or reduction in working hours, or experiencing mortgage or rental stress as a result of the current economic climate.</w:t>
      </w:r>
    </w:p>
    <w:p w:rsidR="00BD6ECF" w:rsidRDefault="00BD6ECF" w:rsidP="007C3A73">
      <w:pPr>
        <w:spacing w:line="276" w:lineRule="auto"/>
        <w:ind w:right="-96"/>
        <w:jc w:val="both"/>
        <w:rPr>
          <w:rFonts w:ascii="Arial" w:hAnsi="Arial" w:cs="Arial"/>
          <w:sz w:val="22"/>
          <w:szCs w:val="22"/>
        </w:rPr>
      </w:pPr>
    </w:p>
    <w:p w:rsidR="00BD6ECF" w:rsidRPr="00501161" w:rsidRDefault="00BD6ECF" w:rsidP="007C3A73">
      <w:pPr>
        <w:spacing w:line="276" w:lineRule="auto"/>
        <w:ind w:right="-96"/>
        <w:jc w:val="both"/>
        <w:rPr>
          <w:rFonts w:ascii="Arial" w:hAnsi="Arial" w:cs="Arial"/>
          <w:b/>
          <w:sz w:val="22"/>
          <w:szCs w:val="22"/>
        </w:rPr>
      </w:pPr>
      <w:r>
        <w:rPr>
          <w:rFonts w:ascii="Arial" w:hAnsi="Arial" w:cs="Arial"/>
          <w:sz w:val="22"/>
          <w:szCs w:val="22"/>
        </w:rPr>
        <w:t>Contact: David Leermakers, Policy Officer, 03 9670 5088 or david@consumeraction.org.au</w:t>
      </w:r>
    </w:p>
    <w:p w:rsidR="002E17BA" w:rsidRDefault="002E17BA" w:rsidP="007C3A73">
      <w:pPr>
        <w:spacing w:line="276" w:lineRule="auto"/>
        <w:ind w:right="-96"/>
        <w:jc w:val="both"/>
        <w:rPr>
          <w:rFonts w:ascii="Arial" w:hAnsi="Arial" w:cs="Arial"/>
          <w:b/>
          <w:sz w:val="22"/>
          <w:szCs w:val="22"/>
          <w:lang w:val="en-US"/>
        </w:rPr>
      </w:pPr>
    </w:p>
    <w:p w:rsidR="00F91FC1" w:rsidRDefault="00F91FC1" w:rsidP="007C3A73">
      <w:pPr>
        <w:spacing w:line="276" w:lineRule="auto"/>
        <w:ind w:right="-96"/>
        <w:jc w:val="both"/>
        <w:rPr>
          <w:rFonts w:ascii="Arial" w:hAnsi="Arial" w:cs="Arial"/>
          <w:b/>
          <w:sz w:val="22"/>
          <w:szCs w:val="22"/>
          <w:lang w:val="en-US"/>
        </w:rPr>
      </w:pPr>
      <w:r>
        <w:rPr>
          <w:rFonts w:ascii="Arial" w:hAnsi="Arial" w:cs="Arial"/>
          <w:b/>
          <w:sz w:val="22"/>
          <w:szCs w:val="22"/>
          <w:lang w:val="en-US"/>
        </w:rPr>
        <w:t>Financial</w:t>
      </w:r>
      <w:r w:rsidRPr="00F91FC1">
        <w:rPr>
          <w:rFonts w:ascii="Arial" w:hAnsi="Arial" w:cs="Arial"/>
          <w:b/>
          <w:sz w:val="22"/>
          <w:szCs w:val="22"/>
          <w:lang w:val="en-US"/>
        </w:rPr>
        <w:t xml:space="preserve"> Counselling </w:t>
      </w:r>
      <w:r>
        <w:rPr>
          <w:rFonts w:ascii="Arial" w:hAnsi="Arial" w:cs="Arial"/>
          <w:b/>
          <w:sz w:val="22"/>
          <w:szCs w:val="22"/>
          <w:lang w:val="en-US"/>
        </w:rPr>
        <w:t>Australia</w:t>
      </w:r>
    </w:p>
    <w:p w:rsidR="00F91FC1" w:rsidRPr="00F91FC1" w:rsidRDefault="00F91FC1" w:rsidP="007C3A73">
      <w:pPr>
        <w:spacing w:line="276" w:lineRule="auto"/>
        <w:ind w:right="-96"/>
        <w:jc w:val="both"/>
        <w:rPr>
          <w:rFonts w:ascii="Arial" w:hAnsi="Arial" w:cs="Arial"/>
          <w:sz w:val="22"/>
          <w:szCs w:val="22"/>
          <w:lang w:val="en-US"/>
        </w:rPr>
      </w:pPr>
    </w:p>
    <w:p w:rsidR="00F91FC1" w:rsidRPr="007745C5" w:rsidRDefault="00F91FC1" w:rsidP="007C3A73">
      <w:pPr>
        <w:spacing w:line="276" w:lineRule="auto"/>
        <w:ind w:right="-96"/>
        <w:jc w:val="both"/>
        <w:rPr>
          <w:rFonts w:ascii="Arial" w:hAnsi="Arial" w:cs="Arial"/>
          <w:sz w:val="22"/>
          <w:szCs w:val="22"/>
        </w:rPr>
      </w:pPr>
      <w:r w:rsidRPr="007745C5">
        <w:rPr>
          <w:rFonts w:ascii="Arial" w:hAnsi="Arial" w:cs="Arial"/>
          <w:sz w:val="22"/>
          <w:szCs w:val="22"/>
        </w:rPr>
        <w:t>Financial Counselling Australia is the peak body for financial counsellors. Financial counsellors help consumers in financial difficulty by providing information, support and advocacy.  Their services are free, confidential and independent.</w:t>
      </w:r>
    </w:p>
    <w:p w:rsidR="00BD6ECF" w:rsidRPr="007745C5" w:rsidRDefault="00BD6ECF" w:rsidP="007C3A73">
      <w:pPr>
        <w:spacing w:line="276" w:lineRule="auto"/>
        <w:ind w:right="-96"/>
        <w:jc w:val="both"/>
        <w:rPr>
          <w:rFonts w:ascii="Arial" w:hAnsi="Arial" w:cs="Arial"/>
          <w:sz w:val="22"/>
          <w:szCs w:val="22"/>
        </w:rPr>
      </w:pPr>
    </w:p>
    <w:p w:rsidR="00BD6ECF" w:rsidRPr="007745C5" w:rsidRDefault="00BD6ECF" w:rsidP="007C3A73">
      <w:pPr>
        <w:spacing w:line="276" w:lineRule="auto"/>
        <w:ind w:right="-96"/>
        <w:jc w:val="both"/>
        <w:rPr>
          <w:rFonts w:ascii="Arial" w:hAnsi="Arial" w:cs="Arial"/>
          <w:sz w:val="22"/>
          <w:szCs w:val="22"/>
        </w:rPr>
      </w:pPr>
      <w:r w:rsidRPr="007745C5">
        <w:rPr>
          <w:rFonts w:ascii="Arial" w:hAnsi="Arial" w:cs="Arial"/>
          <w:sz w:val="22"/>
          <w:szCs w:val="22"/>
        </w:rPr>
        <w:lastRenderedPageBreak/>
        <w:t>Contact: Fiona Guthrie, Ex</w:t>
      </w:r>
      <w:r w:rsidR="00473DAA" w:rsidRPr="007745C5">
        <w:rPr>
          <w:rFonts w:ascii="Arial" w:hAnsi="Arial" w:cs="Arial"/>
          <w:sz w:val="22"/>
          <w:szCs w:val="22"/>
        </w:rPr>
        <w:t xml:space="preserve">ecutive Director, </w:t>
      </w:r>
      <w:r w:rsidRPr="007745C5">
        <w:rPr>
          <w:rFonts w:ascii="Arial" w:hAnsi="Arial" w:cs="Arial"/>
          <w:sz w:val="22"/>
          <w:szCs w:val="22"/>
        </w:rPr>
        <w:t>0402 426 835 or fiona.guthrie@afccra.org</w:t>
      </w:r>
    </w:p>
    <w:p w:rsidR="00BD6ECF" w:rsidRDefault="00BD6ECF" w:rsidP="007C3A73">
      <w:pPr>
        <w:spacing w:line="276" w:lineRule="auto"/>
        <w:ind w:right="-96"/>
        <w:jc w:val="both"/>
        <w:rPr>
          <w:rFonts w:ascii="Arial" w:hAnsi="Arial" w:cs="Arial"/>
          <w:sz w:val="22"/>
          <w:szCs w:val="22"/>
          <w:lang w:val="en-US"/>
        </w:rPr>
      </w:pPr>
    </w:p>
    <w:p w:rsidR="00694B7A" w:rsidRPr="00694B7A" w:rsidRDefault="00694B7A" w:rsidP="007C3A73">
      <w:pPr>
        <w:spacing w:line="276" w:lineRule="auto"/>
        <w:ind w:right="-96"/>
        <w:jc w:val="both"/>
        <w:rPr>
          <w:rFonts w:ascii="Arial" w:hAnsi="Arial" w:cs="Arial"/>
          <w:b/>
          <w:sz w:val="22"/>
          <w:szCs w:val="22"/>
        </w:rPr>
      </w:pPr>
      <w:r w:rsidRPr="00694B7A">
        <w:rPr>
          <w:rFonts w:ascii="Arial" w:hAnsi="Arial" w:cs="Arial"/>
          <w:b/>
          <w:sz w:val="22"/>
          <w:szCs w:val="22"/>
        </w:rPr>
        <w:t>Footscray Community Legal Centre</w:t>
      </w:r>
    </w:p>
    <w:p w:rsidR="00694B7A" w:rsidRDefault="00694B7A" w:rsidP="007C3A73">
      <w:pPr>
        <w:spacing w:line="276" w:lineRule="auto"/>
        <w:ind w:right="-96"/>
        <w:jc w:val="both"/>
        <w:rPr>
          <w:rFonts w:ascii="Arial" w:hAnsi="Arial" w:cs="Arial"/>
          <w:sz w:val="22"/>
          <w:szCs w:val="22"/>
        </w:rPr>
      </w:pPr>
    </w:p>
    <w:p w:rsidR="00694B7A" w:rsidRDefault="00B6282B" w:rsidP="007C3A73">
      <w:pPr>
        <w:spacing w:line="276" w:lineRule="auto"/>
        <w:ind w:right="-96"/>
        <w:jc w:val="both"/>
        <w:rPr>
          <w:rFonts w:ascii="Arial" w:hAnsi="Arial" w:cs="Arial"/>
          <w:sz w:val="22"/>
          <w:szCs w:val="22"/>
        </w:rPr>
      </w:pPr>
      <w:r w:rsidRPr="00B6282B">
        <w:rPr>
          <w:rFonts w:ascii="Arial" w:hAnsi="Arial" w:cs="Arial"/>
          <w:sz w:val="22"/>
          <w:szCs w:val="22"/>
        </w:rPr>
        <w:t>Footscray Community Legal Centre and Financial Counselling Service is a non-profit, community managed incorporated association. The Centre has a Legal Service and a Financial Counselling Service. Our purpose is to address systemic injustice by providing free legal and financial counselling services on an individual level and more broadly through community education, law reform and advocacy. We assist people who live, work or study in the City or Maribyrnong. Our service gives priority to those who cannot afford a private lawyer and/or do not qualify for Legal Aid</w:t>
      </w:r>
      <w:r w:rsidR="00457084">
        <w:rPr>
          <w:rFonts w:ascii="Arial" w:hAnsi="Arial" w:cs="Arial"/>
          <w:sz w:val="22"/>
          <w:szCs w:val="22"/>
        </w:rPr>
        <w:t>.</w:t>
      </w:r>
    </w:p>
    <w:p w:rsidR="00694B7A" w:rsidRDefault="00694B7A" w:rsidP="007C3A73">
      <w:pPr>
        <w:spacing w:line="276" w:lineRule="auto"/>
        <w:ind w:right="-96"/>
        <w:jc w:val="both"/>
        <w:rPr>
          <w:rFonts w:ascii="Arial" w:hAnsi="Arial" w:cs="Arial"/>
          <w:sz w:val="22"/>
          <w:szCs w:val="22"/>
        </w:rPr>
      </w:pPr>
    </w:p>
    <w:p w:rsidR="00694B7A" w:rsidRDefault="00694B7A" w:rsidP="007C3A73">
      <w:pPr>
        <w:spacing w:line="276" w:lineRule="auto"/>
        <w:ind w:right="-96"/>
        <w:jc w:val="both"/>
        <w:rPr>
          <w:rFonts w:ascii="Arial" w:hAnsi="Arial" w:cs="Arial"/>
          <w:sz w:val="22"/>
          <w:szCs w:val="22"/>
        </w:rPr>
      </w:pPr>
      <w:r>
        <w:rPr>
          <w:rFonts w:ascii="Arial" w:hAnsi="Arial" w:cs="Arial"/>
          <w:sz w:val="22"/>
          <w:szCs w:val="22"/>
        </w:rPr>
        <w:t xml:space="preserve">Contact: </w:t>
      </w:r>
      <w:r w:rsidR="002467D9">
        <w:rPr>
          <w:rFonts w:ascii="Arial" w:hAnsi="Arial" w:cs="Arial"/>
          <w:sz w:val="22"/>
          <w:szCs w:val="22"/>
        </w:rPr>
        <w:t>Denis Nelthorpe,</w:t>
      </w:r>
      <w:r w:rsidR="00A8224E">
        <w:rPr>
          <w:rFonts w:ascii="Arial" w:hAnsi="Arial" w:cs="Arial"/>
          <w:sz w:val="22"/>
          <w:szCs w:val="22"/>
        </w:rPr>
        <w:t xml:space="preserve"> Manager</w:t>
      </w:r>
      <w:r w:rsidR="002467D9">
        <w:rPr>
          <w:rFonts w:ascii="Arial" w:hAnsi="Arial" w:cs="Arial"/>
          <w:sz w:val="22"/>
          <w:szCs w:val="22"/>
        </w:rPr>
        <w:t xml:space="preserve">, </w:t>
      </w:r>
      <w:r w:rsidR="00A367FD">
        <w:rPr>
          <w:rFonts w:ascii="Arial" w:hAnsi="Arial" w:cs="Arial"/>
          <w:sz w:val="22"/>
          <w:szCs w:val="22"/>
        </w:rPr>
        <w:t xml:space="preserve">0414 </w:t>
      </w:r>
      <w:r w:rsidR="00A367FD" w:rsidRPr="00A367FD">
        <w:rPr>
          <w:rFonts w:ascii="Arial" w:hAnsi="Arial" w:cs="Arial"/>
          <w:sz w:val="22"/>
          <w:szCs w:val="22"/>
        </w:rPr>
        <w:t>545 290</w:t>
      </w:r>
      <w:r w:rsidR="00A367FD">
        <w:rPr>
          <w:rFonts w:ascii="Arial" w:hAnsi="Arial" w:cs="Arial"/>
          <w:sz w:val="22"/>
          <w:szCs w:val="22"/>
        </w:rPr>
        <w:t xml:space="preserve"> or denis.nelthorpe@iinet.net.au</w:t>
      </w:r>
    </w:p>
    <w:p w:rsidR="00694B7A" w:rsidRDefault="00694B7A" w:rsidP="007C3A73">
      <w:pPr>
        <w:spacing w:line="276" w:lineRule="auto"/>
        <w:ind w:right="-96"/>
        <w:jc w:val="both"/>
        <w:rPr>
          <w:rFonts w:ascii="Arial" w:hAnsi="Arial" w:cs="Arial"/>
          <w:sz w:val="22"/>
          <w:szCs w:val="22"/>
        </w:rPr>
      </w:pPr>
    </w:p>
    <w:p w:rsidR="00694B7A" w:rsidRPr="00694B7A" w:rsidRDefault="00694B7A" w:rsidP="007C3A73">
      <w:pPr>
        <w:spacing w:line="276" w:lineRule="auto"/>
        <w:ind w:right="-96"/>
        <w:jc w:val="both"/>
        <w:rPr>
          <w:rFonts w:ascii="Arial" w:hAnsi="Arial" w:cs="Arial"/>
          <w:b/>
          <w:sz w:val="22"/>
          <w:szCs w:val="22"/>
        </w:rPr>
      </w:pPr>
      <w:r w:rsidRPr="00694B7A">
        <w:rPr>
          <w:rFonts w:ascii="Arial" w:hAnsi="Arial" w:cs="Arial"/>
          <w:b/>
          <w:sz w:val="22"/>
          <w:szCs w:val="22"/>
        </w:rPr>
        <w:t>Insurance Law Service</w:t>
      </w:r>
    </w:p>
    <w:p w:rsidR="00694B7A" w:rsidRDefault="00694B7A" w:rsidP="007C3A73">
      <w:pPr>
        <w:spacing w:line="276" w:lineRule="auto"/>
        <w:ind w:right="-96"/>
        <w:jc w:val="both"/>
        <w:rPr>
          <w:rFonts w:ascii="Arial" w:hAnsi="Arial" w:cs="Arial"/>
          <w:sz w:val="22"/>
          <w:szCs w:val="22"/>
        </w:rPr>
      </w:pPr>
    </w:p>
    <w:p w:rsidR="00FB675F" w:rsidRDefault="00FB675F" w:rsidP="007C3A73">
      <w:pPr>
        <w:spacing w:line="276" w:lineRule="auto"/>
        <w:ind w:right="-96"/>
        <w:jc w:val="both"/>
        <w:rPr>
          <w:rFonts w:ascii="Arial" w:hAnsi="Arial" w:cs="Arial"/>
          <w:sz w:val="22"/>
          <w:szCs w:val="22"/>
        </w:rPr>
      </w:pPr>
      <w:r w:rsidRPr="00FB675F">
        <w:rPr>
          <w:rFonts w:ascii="Arial" w:hAnsi="Arial" w:cs="Arial"/>
          <w:sz w:val="22"/>
          <w:szCs w:val="22"/>
        </w:rPr>
        <w:t>The Consumer Credit Legal Centre is a community legal centre that also maintains a project called the Insurance Law Service (“ILS”). The ILS is funded by the Legal Aid Commission of NSW and the Commonwealth Attorney-General’s Department through the Community Legal Services Program.  The ILS is a national service and has provided telephone advice in the course of over 5,000 calls since its inception in mid 2007 and finalised more than 260 casework files. Advice is provided free of charge on a 1300 number available throughout Australia. 28% of calls in 2010/11 financial year to date came from Qld and 16% from Victoria, many involving consumers affected by the recent storms and floods. ILS is actively involved in representing consumers affected by the Queensland floods and previously acted for a number of consumers affected by other natural disasters.</w:t>
      </w:r>
    </w:p>
    <w:p w:rsidR="00FB675F" w:rsidRDefault="00FB675F" w:rsidP="007C3A73">
      <w:pPr>
        <w:spacing w:line="276" w:lineRule="auto"/>
        <w:ind w:right="-96"/>
        <w:jc w:val="both"/>
        <w:rPr>
          <w:rFonts w:ascii="Arial" w:hAnsi="Arial" w:cs="Arial"/>
          <w:sz w:val="22"/>
          <w:szCs w:val="22"/>
        </w:rPr>
      </w:pPr>
    </w:p>
    <w:p w:rsidR="00694B7A" w:rsidRDefault="00A00C08" w:rsidP="007C3A73">
      <w:pPr>
        <w:spacing w:line="276" w:lineRule="auto"/>
        <w:ind w:right="-96"/>
        <w:jc w:val="both"/>
        <w:rPr>
          <w:rFonts w:ascii="Arial" w:hAnsi="Arial" w:cs="Arial"/>
          <w:sz w:val="22"/>
          <w:szCs w:val="22"/>
        </w:rPr>
      </w:pPr>
      <w:r>
        <w:rPr>
          <w:rFonts w:ascii="Arial" w:hAnsi="Arial" w:cs="Arial"/>
          <w:sz w:val="22"/>
          <w:szCs w:val="22"/>
        </w:rPr>
        <w:t xml:space="preserve">Contact: </w:t>
      </w:r>
      <w:r w:rsidRPr="00A00C08">
        <w:rPr>
          <w:rFonts w:ascii="Arial" w:hAnsi="Arial" w:cs="Arial"/>
          <w:sz w:val="22"/>
          <w:szCs w:val="22"/>
        </w:rPr>
        <w:t>Katherine Lane</w:t>
      </w:r>
      <w:r>
        <w:rPr>
          <w:rFonts w:ascii="Arial" w:hAnsi="Arial" w:cs="Arial"/>
          <w:sz w:val="22"/>
          <w:szCs w:val="22"/>
        </w:rPr>
        <w:t xml:space="preserve">, </w:t>
      </w:r>
      <w:r w:rsidRPr="00A00C08">
        <w:rPr>
          <w:rFonts w:ascii="Arial" w:hAnsi="Arial" w:cs="Arial"/>
          <w:sz w:val="22"/>
          <w:szCs w:val="22"/>
        </w:rPr>
        <w:t>Principal Solicitor</w:t>
      </w:r>
      <w:r>
        <w:rPr>
          <w:rFonts w:ascii="Arial" w:hAnsi="Arial" w:cs="Arial"/>
          <w:sz w:val="22"/>
          <w:szCs w:val="22"/>
        </w:rPr>
        <w:t xml:space="preserve">, </w:t>
      </w:r>
      <w:r w:rsidRPr="00A00C08">
        <w:rPr>
          <w:rFonts w:ascii="Arial" w:hAnsi="Arial" w:cs="Arial"/>
          <w:sz w:val="22"/>
          <w:szCs w:val="22"/>
        </w:rPr>
        <w:t>02</w:t>
      </w:r>
      <w:r>
        <w:rPr>
          <w:rFonts w:ascii="Arial" w:hAnsi="Arial" w:cs="Arial"/>
          <w:sz w:val="22"/>
          <w:szCs w:val="22"/>
        </w:rPr>
        <w:t xml:space="preserve"> </w:t>
      </w:r>
      <w:r w:rsidRPr="00A00C08">
        <w:rPr>
          <w:rFonts w:ascii="Arial" w:hAnsi="Arial" w:cs="Arial"/>
          <w:sz w:val="22"/>
          <w:szCs w:val="22"/>
        </w:rPr>
        <w:t>8204</w:t>
      </w:r>
      <w:r>
        <w:rPr>
          <w:rFonts w:ascii="Arial" w:hAnsi="Arial" w:cs="Arial"/>
          <w:sz w:val="22"/>
          <w:szCs w:val="22"/>
        </w:rPr>
        <w:t xml:space="preserve"> </w:t>
      </w:r>
      <w:r w:rsidRPr="00A00C08">
        <w:rPr>
          <w:rFonts w:ascii="Arial" w:hAnsi="Arial" w:cs="Arial"/>
          <w:sz w:val="22"/>
          <w:szCs w:val="22"/>
        </w:rPr>
        <w:t>1350</w:t>
      </w:r>
      <w:r>
        <w:rPr>
          <w:rFonts w:ascii="Arial" w:hAnsi="Arial" w:cs="Arial"/>
          <w:sz w:val="22"/>
          <w:szCs w:val="22"/>
        </w:rPr>
        <w:t xml:space="preserve"> or k</w:t>
      </w:r>
      <w:r w:rsidRPr="00A00C08">
        <w:rPr>
          <w:rFonts w:ascii="Arial" w:hAnsi="Arial" w:cs="Arial"/>
          <w:sz w:val="22"/>
          <w:szCs w:val="22"/>
        </w:rPr>
        <w:t>at.lane@cclcnsw.org.au</w:t>
      </w:r>
    </w:p>
    <w:p w:rsidR="00694B7A" w:rsidRDefault="00694B7A" w:rsidP="007C3A73">
      <w:pPr>
        <w:spacing w:line="276" w:lineRule="auto"/>
        <w:ind w:right="-96"/>
        <w:jc w:val="both"/>
        <w:rPr>
          <w:rFonts w:ascii="Arial" w:hAnsi="Arial" w:cs="Arial"/>
          <w:b/>
          <w:sz w:val="22"/>
          <w:szCs w:val="22"/>
        </w:rPr>
      </w:pPr>
    </w:p>
    <w:p w:rsidR="00694B7A" w:rsidRDefault="00694B7A" w:rsidP="007C3A73">
      <w:pPr>
        <w:spacing w:line="276" w:lineRule="auto"/>
        <w:ind w:right="-96"/>
        <w:jc w:val="both"/>
        <w:rPr>
          <w:rFonts w:ascii="Arial" w:hAnsi="Arial" w:cs="Arial"/>
          <w:sz w:val="22"/>
          <w:szCs w:val="22"/>
        </w:rPr>
      </w:pPr>
      <w:r w:rsidRPr="00694B7A">
        <w:rPr>
          <w:rFonts w:ascii="Arial" w:hAnsi="Arial" w:cs="Arial"/>
          <w:b/>
          <w:sz w:val="22"/>
          <w:szCs w:val="22"/>
        </w:rPr>
        <w:t>National Legal Aid</w:t>
      </w:r>
    </w:p>
    <w:p w:rsidR="00694B7A" w:rsidRDefault="00694B7A" w:rsidP="007C3A73">
      <w:pPr>
        <w:spacing w:line="276" w:lineRule="auto"/>
        <w:ind w:right="-96"/>
        <w:jc w:val="both"/>
        <w:rPr>
          <w:rFonts w:ascii="Arial" w:hAnsi="Arial" w:cs="Arial"/>
          <w:sz w:val="22"/>
          <w:szCs w:val="22"/>
        </w:rPr>
      </w:pP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National Legal Aid (NLA) represents the Directors of the eight State and Territory Legal Aid Commissions (Commissions) in Australia. The Commissions are independent statutory authorities established under respective State or Territory enabling legislation.  They are funded by State or Territory and Commonwealth governments to provide legal assistance to disadvantaged people.</w:t>
      </w:r>
    </w:p>
    <w:p w:rsidR="003B6807" w:rsidRPr="003B6807" w:rsidRDefault="003B6807" w:rsidP="003B6807">
      <w:pPr>
        <w:spacing w:line="276" w:lineRule="auto"/>
        <w:ind w:right="-96"/>
        <w:jc w:val="both"/>
        <w:rPr>
          <w:rFonts w:ascii="Arial" w:hAnsi="Arial" w:cs="Arial"/>
          <w:sz w:val="22"/>
          <w:szCs w:val="22"/>
        </w:rPr>
      </w:pP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NLA aims to ensure that the protection or assertion of the legal rights and interests of people are not prejudiced by reason of their inability to:</w:t>
      </w:r>
    </w:p>
    <w:p w:rsidR="003B6807" w:rsidRPr="003B6807" w:rsidRDefault="003B6807" w:rsidP="003B6807">
      <w:pPr>
        <w:spacing w:line="276" w:lineRule="auto"/>
        <w:ind w:right="-96"/>
        <w:jc w:val="both"/>
        <w:rPr>
          <w:rFonts w:ascii="Arial" w:hAnsi="Arial" w:cs="Arial"/>
          <w:sz w:val="22"/>
          <w:szCs w:val="22"/>
        </w:rPr>
      </w:pP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w:t>
      </w:r>
      <w:r w:rsidRPr="003B6807">
        <w:rPr>
          <w:rFonts w:ascii="Arial" w:hAnsi="Arial" w:cs="Arial"/>
          <w:sz w:val="22"/>
          <w:szCs w:val="22"/>
        </w:rPr>
        <w:tab/>
        <w:t>Obtain access to independent legal advice;</w:t>
      </w: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w:t>
      </w:r>
      <w:r w:rsidRPr="003B6807">
        <w:rPr>
          <w:rFonts w:ascii="Arial" w:hAnsi="Arial" w:cs="Arial"/>
          <w:sz w:val="22"/>
          <w:szCs w:val="22"/>
        </w:rPr>
        <w:tab/>
        <w:t>Afford the appropriate cost of legal representation;</w:t>
      </w: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w:t>
      </w:r>
      <w:r w:rsidRPr="003B6807">
        <w:rPr>
          <w:rFonts w:ascii="Arial" w:hAnsi="Arial" w:cs="Arial"/>
          <w:sz w:val="22"/>
          <w:szCs w:val="22"/>
        </w:rPr>
        <w:tab/>
        <w:t>Obtain access to the Federal and State and Territory legal systems; or</w:t>
      </w:r>
    </w:p>
    <w:p w:rsidR="003B6807" w:rsidRPr="003B6807" w:rsidRDefault="003B6807" w:rsidP="003B6807">
      <w:pPr>
        <w:spacing w:line="276" w:lineRule="auto"/>
        <w:ind w:right="-96"/>
        <w:jc w:val="both"/>
        <w:rPr>
          <w:rFonts w:ascii="Arial" w:hAnsi="Arial" w:cs="Arial"/>
          <w:sz w:val="22"/>
          <w:szCs w:val="22"/>
        </w:rPr>
      </w:pPr>
      <w:r w:rsidRPr="003B6807">
        <w:rPr>
          <w:rFonts w:ascii="Arial" w:hAnsi="Arial" w:cs="Arial"/>
          <w:sz w:val="22"/>
          <w:szCs w:val="22"/>
        </w:rPr>
        <w:t>•</w:t>
      </w:r>
      <w:r w:rsidRPr="003B6807">
        <w:rPr>
          <w:rFonts w:ascii="Arial" w:hAnsi="Arial" w:cs="Arial"/>
          <w:sz w:val="22"/>
          <w:szCs w:val="22"/>
        </w:rPr>
        <w:tab/>
        <w:t>Obtain adequate information about access to the law and the legal system.</w:t>
      </w:r>
    </w:p>
    <w:p w:rsidR="003B6807" w:rsidRPr="003B6807" w:rsidRDefault="003B6807" w:rsidP="003B6807">
      <w:pPr>
        <w:spacing w:line="276" w:lineRule="auto"/>
        <w:ind w:right="-96"/>
        <w:jc w:val="both"/>
        <w:rPr>
          <w:rFonts w:ascii="Arial" w:hAnsi="Arial" w:cs="Arial"/>
          <w:sz w:val="22"/>
          <w:szCs w:val="22"/>
        </w:rPr>
      </w:pPr>
    </w:p>
    <w:p w:rsidR="00694B7A" w:rsidRPr="00694B7A" w:rsidRDefault="003B6807" w:rsidP="003B6807">
      <w:pPr>
        <w:spacing w:line="276" w:lineRule="auto"/>
        <w:ind w:right="-96"/>
        <w:jc w:val="both"/>
        <w:rPr>
          <w:rFonts w:ascii="Arial" w:hAnsi="Arial" w:cs="Arial"/>
          <w:b/>
          <w:sz w:val="22"/>
          <w:szCs w:val="22"/>
        </w:rPr>
      </w:pPr>
      <w:r w:rsidRPr="003B6807">
        <w:rPr>
          <w:rFonts w:ascii="Arial" w:hAnsi="Arial" w:cs="Arial"/>
          <w:sz w:val="22"/>
          <w:szCs w:val="22"/>
        </w:rPr>
        <w:t>Contact: Louise Smith, Executive Officer, 0419 350 065 or louise.smith@leg</w:t>
      </w:r>
      <w:r>
        <w:rPr>
          <w:rFonts w:ascii="Arial" w:hAnsi="Arial" w:cs="Arial"/>
          <w:sz w:val="22"/>
          <w:szCs w:val="22"/>
        </w:rPr>
        <w:t>a</w:t>
      </w:r>
      <w:r w:rsidRPr="003B6807">
        <w:rPr>
          <w:rFonts w:ascii="Arial" w:hAnsi="Arial" w:cs="Arial"/>
          <w:sz w:val="22"/>
          <w:szCs w:val="22"/>
        </w:rPr>
        <w:t>laid.tas.gov.au</w:t>
      </w:r>
    </w:p>
    <w:p w:rsidR="00694B7A" w:rsidRDefault="00694B7A" w:rsidP="007C3A73">
      <w:pPr>
        <w:spacing w:line="276" w:lineRule="auto"/>
        <w:ind w:right="-96"/>
        <w:jc w:val="both"/>
        <w:rPr>
          <w:rFonts w:ascii="Arial" w:hAnsi="Arial" w:cs="Arial"/>
          <w:sz w:val="22"/>
          <w:szCs w:val="22"/>
          <w:lang w:val="en-US"/>
        </w:rPr>
      </w:pPr>
    </w:p>
    <w:p w:rsidR="00BD6ECF" w:rsidRDefault="00BD6ECF" w:rsidP="007C3A73">
      <w:pPr>
        <w:spacing w:line="276" w:lineRule="auto"/>
        <w:ind w:right="-96"/>
        <w:jc w:val="both"/>
        <w:rPr>
          <w:rFonts w:ascii="Arial" w:hAnsi="Arial" w:cs="Arial"/>
          <w:sz w:val="22"/>
          <w:szCs w:val="22"/>
          <w:lang w:val="en-US"/>
        </w:rPr>
      </w:pPr>
    </w:p>
    <w:p w:rsidR="00BD6ECF" w:rsidRPr="00F91FC1" w:rsidRDefault="00BD6ECF" w:rsidP="007C3A73">
      <w:pPr>
        <w:spacing w:line="276" w:lineRule="auto"/>
        <w:ind w:right="-96"/>
        <w:jc w:val="both"/>
        <w:rPr>
          <w:rFonts w:ascii="Arial" w:hAnsi="Arial" w:cs="Arial"/>
          <w:sz w:val="22"/>
          <w:szCs w:val="22"/>
          <w:lang w:val="en-US"/>
        </w:rPr>
      </w:pPr>
    </w:p>
    <w:sectPr w:rsidR="00BD6ECF" w:rsidRPr="00F91FC1" w:rsidSect="00530D59">
      <w:footerReference w:type="default" r:id="rId23"/>
      <w:pgSz w:w="11906" w:h="16838"/>
      <w:pgMar w:top="993" w:right="1416" w:bottom="1440" w:left="1134" w:header="709" w:footer="44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82B" w:rsidRDefault="00B6282B">
      <w:r>
        <w:separator/>
      </w:r>
    </w:p>
  </w:endnote>
  <w:endnote w:type="continuationSeparator" w:id="0">
    <w:p w:rsidR="00B6282B" w:rsidRDefault="00B628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2B" w:rsidRPr="0045422A" w:rsidRDefault="00D573A5">
    <w:pPr>
      <w:pStyle w:val="Footer"/>
      <w:jc w:val="right"/>
      <w:rPr>
        <w:rFonts w:ascii="Arial" w:hAnsi="Arial" w:cs="Arial"/>
      </w:rPr>
    </w:pPr>
    <w:r w:rsidRPr="0045422A">
      <w:rPr>
        <w:rFonts w:ascii="Arial" w:hAnsi="Arial" w:cs="Arial"/>
      </w:rPr>
      <w:fldChar w:fldCharType="begin"/>
    </w:r>
    <w:r w:rsidR="00B6282B" w:rsidRPr="0045422A">
      <w:rPr>
        <w:rFonts w:ascii="Arial" w:hAnsi="Arial" w:cs="Arial"/>
      </w:rPr>
      <w:instrText xml:space="preserve"> PAGE   \* MERGEFORMAT </w:instrText>
    </w:r>
    <w:r w:rsidRPr="0045422A">
      <w:rPr>
        <w:rFonts w:ascii="Arial" w:hAnsi="Arial" w:cs="Arial"/>
      </w:rPr>
      <w:fldChar w:fldCharType="separate"/>
    </w:r>
    <w:r w:rsidR="00940D89">
      <w:rPr>
        <w:rFonts w:ascii="Arial" w:hAnsi="Arial" w:cs="Arial"/>
        <w:noProof/>
      </w:rPr>
      <w:t>27</w:t>
    </w:r>
    <w:r w:rsidRPr="0045422A">
      <w:rPr>
        <w:rFonts w:ascii="Arial" w:hAnsi="Arial" w:cs="Arial"/>
      </w:rPr>
      <w:fldChar w:fldCharType="end"/>
    </w:r>
  </w:p>
  <w:p w:rsidR="00B6282B" w:rsidRDefault="00B628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82B" w:rsidRDefault="00B6282B">
      <w:r>
        <w:separator/>
      </w:r>
    </w:p>
  </w:footnote>
  <w:footnote w:type="continuationSeparator" w:id="0">
    <w:p w:rsidR="00B6282B" w:rsidRDefault="00B6282B">
      <w:r>
        <w:continuationSeparator/>
      </w:r>
    </w:p>
  </w:footnote>
  <w:footnote w:id="1">
    <w:p w:rsidR="00B6282B" w:rsidRPr="00D51E29" w:rsidRDefault="00B6282B" w:rsidP="00501161">
      <w:pPr>
        <w:pStyle w:val="FootnoteText"/>
      </w:pPr>
      <w:r w:rsidRPr="00D51E29">
        <w:rPr>
          <w:rStyle w:val="FootnoteReference"/>
        </w:rPr>
        <w:footnoteRef/>
      </w:r>
      <w:r w:rsidRPr="00D51E29">
        <w:t xml:space="preserve"> </w:t>
      </w:r>
      <w:r w:rsidRPr="00D51E29">
        <w:rPr>
          <w:lang w:val="en-US"/>
        </w:rPr>
        <w:t>ASIC</w:t>
      </w:r>
      <w:r>
        <w:rPr>
          <w:lang w:val="en-US"/>
        </w:rPr>
        <w:t>,</w:t>
      </w:r>
      <w:r w:rsidRPr="00D51E29">
        <w:rPr>
          <w:lang w:val="en-US"/>
        </w:rPr>
        <w:t xml:space="preserve"> </w:t>
      </w:r>
      <w:r w:rsidRPr="004F2CAC">
        <w:rPr>
          <w:i/>
          <w:lang w:val="en-US"/>
        </w:rPr>
        <w:t>Consumer Understanding of Flood insurance</w:t>
      </w:r>
      <w:r>
        <w:rPr>
          <w:lang w:val="en-US"/>
        </w:rPr>
        <w:t>,</w:t>
      </w:r>
      <w:r w:rsidRPr="00D51E29">
        <w:rPr>
          <w:lang w:val="en-US"/>
        </w:rPr>
        <w:t xml:space="preserve"> Report 7, June 2000</w:t>
      </w:r>
      <w:r>
        <w:rPr>
          <w:lang w:val="en-US"/>
        </w:rPr>
        <w:t>.</w:t>
      </w:r>
    </w:p>
  </w:footnote>
  <w:footnote w:id="2">
    <w:p w:rsidR="00B6282B" w:rsidRPr="00D51E29" w:rsidRDefault="00B6282B" w:rsidP="00501161">
      <w:pPr>
        <w:pStyle w:val="FootnoteText"/>
      </w:pPr>
      <w:r w:rsidRPr="00D51E29">
        <w:rPr>
          <w:rStyle w:val="FootnoteReference"/>
        </w:rPr>
        <w:footnoteRef/>
      </w:r>
      <w:r w:rsidRPr="00D51E29">
        <w:t xml:space="preserve"> </w:t>
      </w:r>
      <w:r w:rsidRPr="00D51E29">
        <w:rPr>
          <w:lang w:val="en-US"/>
        </w:rPr>
        <w:t>A</w:t>
      </w:r>
      <w:r>
        <w:rPr>
          <w:lang w:val="en-US"/>
        </w:rPr>
        <w:t>s above</w:t>
      </w:r>
      <w:r w:rsidRPr="00D51E29">
        <w:rPr>
          <w:lang w:val="en-US"/>
        </w:rPr>
        <w:t xml:space="preserve"> at p</w:t>
      </w:r>
      <w:r>
        <w:rPr>
          <w:lang w:val="en-US"/>
        </w:rPr>
        <w:t xml:space="preserve"> </w:t>
      </w:r>
      <w:r w:rsidRPr="00D51E29">
        <w:rPr>
          <w:lang w:val="en-US"/>
        </w:rPr>
        <w:t>3</w:t>
      </w:r>
      <w:r>
        <w:rPr>
          <w:lang w:val="en-US"/>
        </w:rPr>
        <w:t>.</w:t>
      </w:r>
    </w:p>
  </w:footnote>
  <w:footnote w:id="3">
    <w:p w:rsidR="00B6282B" w:rsidRPr="00D51E29" w:rsidRDefault="00B6282B" w:rsidP="00501161">
      <w:pPr>
        <w:pStyle w:val="FootnoteText"/>
      </w:pPr>
      <w:r w:rsidRPr="00D51E29">
        <w:rPr>
          <w:rStyle w:val="FootnoteReference"/>
        </w:rPr>
        <w:footnoteRef/>
      </w:r>
      <w:r w:rsidRPr="00D51E29">
        <w:t xml:space="preserve"> </w:t>
      </w:r>
      <w:r w:rsidRPr="00D51E29">
        <w:rPr>
          <w:lang w:val="en-US"/>
        </w:rPr>
        <w:t>As above at pp 2-3.</w:t>
      </w:r>
    </w:p>
  </w:footnote>
  <w:footnote w:id="4">
    <w:p w:rsidR="00B6282B" w:rsidRPr="00D51E29" w:rsidRDefault="00B6282B" w:rsidP="00501161">
      <w:pPr>
        <w:pStyle w:val="FootnoteText"/>
      </w:pPr>
      <w:r w:rsidRPr="00D51E29">
        <w:rPr>
          <w:rStyle w:val="FootnoteReference"/>
        </w:rPr>
        <w:footnoteRef/>
      </w:r>
      <w:r w:rsidRPr="00D51E29">
        <w:t xml:space="preserve"> As above. </w:t>
      </w:r>
    </w:p>
  </w:footnote>
  <w:footnote w:id="5">
    <w:p w:rsidR="00B6282B" w:rsidRPr="00D51E29" w:rsidRDefault="00B6282B" w:rsidP="00501161">
      <w:pPr>
        <w:pStyle w:val="FootnoteText"/>
      </w:pPr>
      <w:r w:rsidRPr="00D51E29">
        <w:rPr>
          <w:rStyle w:val="FootnoteReference"/>
        </w:rPr>
        <w:footnoteRef/>
      </w:r>
      <w:r w:rsidRPr="00D51E29">
        <w:t xml:space="preserve"> </w:t>
      </w:r>
      <w:r w:rsidRPr="00D51E29">
        <w:rPr>
          <w:lang w:val="en-US"/>
        </w:rPr>
        <w:t xml:space="preserve">See 2008 </w:t>
      </w:r>
      <w:smartTag w:uri="urn:schemas-microsoft-com:office:smarttags" w:element="place">
        <w:smartTag w:uri="urn:schemas-microsoft-com:office:smarttags" w:element="City">
          <w:r w:rsidRPr="00D51E29">
            <w:rPr>
              <w:lang w:val="en-US"/>
            </w:rPr>
            <w:t>ICA</w:t>
          </w:r>
        </w:smartTag>
      </w:smartTag>
      <w:r w:rsidRPr="00D51E29">
        <w:rPr>
          <w:lang w:val="en-US"/>
        </w:rPr>
        <w:t xml:space="preserve"> application to ACCC for common</w:t>
      </w:r>
      <w:r>
        <w:rPr>
          <w:lang w:val="en-US"/>
        </w:rPr>
        <w:t xml:space="preserve"> definition of flood, </w:t>
      </w:r>
      <w:r w:rsidRPr="00D51E29">
        <w:rPr>
          <w:u w:val="single"/>
          <w:lang w:val="en-US"/>
        </w:rPr>
        <w:t>www.accc.gov.au/content/index.phtml/itemId/841725</w:t>
      </w:r>
      <w:r>
        <w:rPr>
          <w:lang w:val="en-US"/>
        </w:rPr>
        <w:t>.</w:t>
      </w:r>
    </w:p>
  </w:footnote>
  <w:footnote w:id="6">
    <w:p w:rsidR="00B6282B" w:rsidRPr="00D51E29" w:rsidRDefault="00B6282B" w:rsidP="00501161">
      <w:pPr>
        <w:pStyle w:val="FootnoteText"/>
      </w:pPr>
      <w:r w:rsidRPr="00D51E29">
        <w:rPr>
          <w:rStyle w:val="FootnoteReference"/>
        </w:rPr>
        <w:footnoteRef/>
      </w:r>
      <w:r w:rsidRPr="00D51E29">
        <w:t xml:space="preserve"> </w:t>
      </w:r>
      <w:r w:rsidRPr="00D51E29">
        <w:rPr>
          <w:lang w:val="en-US"/>
        </w:rPr>
        <w:t xml:space="preserve">Though we do note that market trend in the last few years is to slowly move toward cover. However, in the Queensland flood of the 25 insurers who offered home and contents insurance, only three insurers provided full cover for their consumers. </w:t>
      </w:r>
    </w:p>
  </w:footnote>
  <w:footnote w:id="7">
    <w:p w:rsidR="00B6282B" w:rsidRPr="00D51E29" w:rsidRDefault="00B6282B" w:rsidP="00501161">
      <w:pPr>
        <w:pStyle w:val="FootnoteText"/>
      </w:pPr>
      <w:r w:rsidRPr="00D51E29">
        <w:rPr>
          <w:rStyle w:val="FootnoteReference"/>
        </w:rPr>
        <w:footnoteRef/>
      </w:r>
      <w:r w:rsidRPr="00D51E29">
        <w:t xml:space="preserve"> </w:t>
      </w:r>
      <w:r w:rsidRPr="00D51E29">
        <w:rPr>
          <w:lang w:val="en-US"/>
        </w:rPr>
        <w:t>On average, insurers pay out on 98% of insurance claims (</w:t>
      </w:r>
      <w:smartTag w:uri="urn:schemas-microsoft-com:office:smarttags" w:element="place">
        <w:smartTag w:uri="urn:schemas-microsoft-com:office:smarttags" w:element="City">
          <w:r w:rsidRPr="00D51E29">
            <w:rPr>
              <w:lang w:val="en-US"/>
            </w:rPr>
            <w:t>ICA</w:t>
          </w:r>
        </w:smartTag>
      </w:smartTag>
      <w:r w:rsidRPr="00D51E29">
        <w:rPr>
          <w:lang w:val="en-US"/>
        </w:rPr>
        <w:t xml:space="preserve"> website – Myths about General Insurance ica.com.au). In relation to the flood disaster, insurers paid out on approximately 85% of</w:t>
      </w:r>
      <w:r>
        <w:rPr>
          <w:lang w:val="en-US"/>
        </w:rPr>
        <w:t xml:space="preserve"> claims:</w:t>
      </w:r>
      <w:r w:rsidRPr="00D51E29">
        <w:rPr>
          <w:lang w:val="en-US"/>
        </w:rPr>
        <w:t xml:space="preserve"> Courier Mail, 8 April 2011. Given the 49,400 claims in respect of </w:t>
      </w:r>
      <w:proofErr w:type="spellStart"/>
      <w:r w:rsidRPr="00D51E29">
        <w:rPr>
          <w:lang w:val="en-US"/>
        </w:rPr>
        <w:t>Qld</w:t>
      </w:r>
      <w:proofErr w:type="spellEnd"/>
      <w:r w:rsidRPr="00D51E29">
        <w:rPr>
          <w:lang w:val="en-US"/>
        </w:rPr>
        <w:t xml:space="preserve"> floods, 7410 claims have been rejected. </w:t>
      </w:r>
    </w:p>
  </w:footnote>
  <w:footnote w:id="8">
    <w:p w:rsidR="00B6282B" w:rsidRPr="00D51E29" w:rsidRDefault="00B6282B" w:rsidP="00501161">
      <w:pPr>
        <w:pStyle w:val="FootnoteText"/>
      </w:pPr>
      <w:r w:rsidRPr="00D51E29">
        <w:rPr>
          <w:rStyle w:val="FootnoteReference"/>
        </w:rPr>
        <w:footnoteRef/>
      </w:r>
      <w:r w:rsidRPr="00D51E29">
        <w:t xml:space="preserve"> </w:t>
      </w:r>
      <w:r w:rsidRPr="00D51E29">
        <w:rPr>
          <w:lang w:val="en-US"/>
        </w:rPr>
        <w:t xml:space="preserve">See 2008 </w:t>
      </w:r>
      <w:smartTag w:uri="urn:schemas-microsoft-com:office:smarttags" w:element="place">
        <w:smartTag w:uri="urn:schemas-microsoft-com:office:smarttags" w:element="City">
          <w:r w:rsidRPr="00D51E29">
            <w:rPr>
              <w:lang w:val="en-US"/>
            </w:rPr>
            <w:t>ICA</w:t>
          </w:r>
        </w:smartTag>
      </w:smartTag>
      <w:r w:rsidRPr="00D51E29">
        <w:rPr>
          <w:lang w:val="en-US"/>
        </w:rPr>
        <w:t xml:space="preserve"> application to ACCC</w:t>
      </w:r>
      <w:r>
        <w:rPr>
          <w:lang w:val="en-US"/>
        </w:rPr>
        <w:t xml:space="preserve"> for common definition of flood.</w:t>
      </w:r>
    </w:p>
  </w:footnote>
  <w:footnote w:id="9">
    <w:p w:rsidR="00B6282B" w:rsidRPr="00D51E29" w:rsidRDefault="00B6282B" w:rsidP="00501161">
      <w:pPr>
        <w:pStyle w:val="FootnoteText"/>
      </w:pPr>
      <w:r w:rsidRPr="00D51E29">
        <w:rPr>
          <w:rStyle w:val="FootnoteReference"/>
        </w:rPr>
        <w:footnoteRef/>
      </w:r>
      <w:r w:rsidRPr="00D51E29">
        <w:t xml:space="preserve"> </w:t>
      </w:r>
      <w:r w:rsidRPr="00D51E29">
        <w:rPr>
          <w:lang w:val="en-US"/>
        </w:rPr>
        <w:t xml:space="preserve">See for instance </w:t>
      </w:r>
      <w:r w:rsidRPr="00D51E29">
        <w:rPr>
          <w:i/>
          <w:lang w:val="en-US"/>
        </w:rPr>
        <w:t xml:space="preserve">Hams v </w:t>
      </w:r>
      <w:proofErr w:type="spellStart"/>
      <w:r w:rsidRPr="00D51E29">
        <w:rPr>
          <w:i/>
          <w:lang w:val="en-US"/>
        </w:rPr>
        <w:t>Anor</w:t>
      </w:r>
      <w:proofErr w:type="spellEnd"/>
      <w:r w:rsidRPr="00D51E29">
        <w:rPr>
          <w:i/>
          <w:lang w:val="en-US"/>
        </w:rPr>
        <w:t xml:space="preserve"> v CGU Insurance Limited</w:t>
      </w:r>
      <w:r w:rsidRPr="00D51E29">
        <w:rPr>
          <w:lang w:val="en-US"/>
        </w:rPr>
        <w:t xml:space="preserve"> (2002) 12 ANZ Insurance cases 61-525, where provision of PDS was sufficient compliance with requirements on clearly informing of derogation from standard cover. </w:t>
      </w:r>
    </w:p>
  </w:footnote>
  <w:footnote w:id="10">
    <w:p w:rsidR="00B6282B" w:rsidRPr="00D51E29" w:rsidRDefault="00B6282B">
      <w:pPr>
        <w:pStyle w:val="FootnoteText"/>
        <w:rPr>
          <w:lang w:val="en-US"/>
        </w:rPr>
      </w:pPr>
      <w:r w:rsidRPr="00D51E29">
        <w:rPr>
          <w:rStyle w:val="FootnoteReference"/>
        </w:rPr>
        <w:footnoteRef/>
      </w:r>
      <w:r w:rsidRPr="00D51E29">
        <w:t xml:space="preserve"> </w:t>
      </w:r>
      <w:r w:rsidRPr="00D51E29">
        <w:rPr>
          <w:lang w:val="en-US"/>
        </w:rPr>
        <w:t xml:space="preserve">CHOICE, </w:t>
      </w:r>
      <w:r w:rsidRPr="00D51E29">
        <w:rPr>
          <w:i/>
          <w:lang w:val="en-US"/>
        </w:rPr>
        <w:t>Home and contents insurance comparison and review</w:t>
      </w:r>
      <w:r w:rsidRPr="00D51E29">
        <w:rPr>
          <w:lang w:val="en-US"/>
        </w:rPr>
        <w:t>, updated 14 January 2011, www.choice.com.au.</w:t>
      </w:r>
    </w:p>
  </w:footnote>
  <w:footnote w:id="11">
    <w:p w:rsidR="00B6282B" w:rsidRPr="00D51E29" w:rsidRDefault="00B6282B" w:rsidP="00813A14">
      <w:pPr>
        <w:pStyle w:val="FootnoteText"/>
        <w:rPr>
          <w:highlight w:val="yellow"/>
        </w:rPr>
      </w:pPr>
      <w:r w:rsidRPr="00D51E29">
        <w:rPr>
          <w:rStyle w:val="FootnoteReference"/>
        </w:rPr>
        <w:footnoteRef/>
      </w:r>
      <w:r w:rsidRPr="00D51E29">
        <w:t xml:space="preserve"> </w:t>
      </w:r>
      <w:r w:rsidRPr="00D51E29">
        <w:rPr>
          <w:lang w:val="en-US"/>
        </w:rPr>
        <w:t xml:space="preserve">ASIC, </w:t>
      </w:r>
      <w:r w:rsidRPr="00D51E29">
        <w:rPr>
          <w:i/>
          <w:lang w:val="en-US"/>
        </w:rPr>
        <w:t>Getting home insurance right: A report on home building underinsurance</w:t>
      </w:r>
      <w:r w:rsidRPr="00D51E29">
        <w:rPr>
          <w:lang w:val="en-US"/>
        </w:rPr>
        <w:t>, Report 54, September 2005; ASIC, Making home insurance better, Report 89, January 2007.</w:t>
      </w:r>
    </w:p>
  </w:footnote>
  <w:footnote w:id="12">
    <w:p w:rsidR="00B6282B" w:rsidRPr="00D51E29" w:rsidRDefault="00B6282B">
      <w:pPr>
        <w:pStyle w:val="FootnoteText"/>
      </w:pPr>
      <w:r w:rsidRPr="00A36B1C">
        <w:rPr>
          <w:rStyle w:val="FootnoteReference"/>
        </w:rPr>
        <w:footnoteRef/>
      </w:r>
      <w:r w:rsidRPr="00A36B1C">
        <w:t xml:space="preserve"> </w:t>
      </w:r>
      <w:r w:rsidRPr="00A36B1C">
        <w:rPr>
          <w:lang w:val="en-US"/>
        </w:rPr>
        <w:t xml:space="preserve">ASIC, </w:t>
      </w:r>
      <w:r w:rsidRPr="00A36B1C">
        <w:rPr>
          <w:i/>
          <w:lang w:val="en-US"/>
        </w:rPr>
        <w:t>Getting home insurance right: A report on home building underinsurance</w:t>
      </w:r>
      <w:r w:rsidRPr="00A36B1C">
        <w:rPr>
          <w:lang w:val="en-US"/>
        </w:rPr>
        <w:t>, Report 54, September 2005, p 20.</w:t>
      </w:r>
    </w:p>
  </w:footnote>
  <w:footnote w:id="13">
    <w:p w:rsidR="00B6282B" w:rsidRPr="00D51E29" w:rsidRDefault="00B6282B">
      <w:pPr>
        <w:pStyle w:val="FootnoteText"/>
        <w:rPr>
          <w:i/>
        </w:rPr>
      </w:pPr>
      <w:r w:rsidRPr="00D51E29">
        <w:rPr>
          <w:rStyle w:val="FootnoteReference"/>
        </w:rPr>
        <w:footnoteRef/>
      </w:r>
      <w:r w:rsidRPr="00D51E29">
        <w:t xml:space="preserve"> Paul O'Shea, </w:t>
      </w:r>
      <w:r w:rsidRPr="00D51E29">
        <w:rPr>
          <w:i/>
        </w:rPr>
        <w:t>Simplification of Disclosure Regulation for the Consumer Credit Code: Empirical Research and Redesign - Final Report</w:t>
      </w:r>
      <w:r w:rsidRPr="00D51E29">
        <w:t xml:space="preserve">, Prepared for the Standing Committee of Officials of Consumer Affairs by </w:t>
      </w:r>
      <w:proofErr w:type="spellStart"/>
      <w:r w:rsidRPr="00D51E29">
        <w:t>Uniquest</w:t>
      </w:r>
      <w:proofErr w:type="spellEnd"/>
      <w:r w:rsidRPr="00D51E29">
        <w:t xml:space="preserve"> Pty Limited,12 March 2010.</w:t>
      </w:r>
    </w:p>
  </w:footnote>
  <w:footnote w:id="14">
    <w:p w:rsidR="00B6282B" w:rsidRPr="00D51E29" w:rsidRDefault="00B6282B">
      <w:pPr>
        <w:pStyle w:val="FootnoteText"/>
        <w:rPr>
          <w:lang w:val="en-US"/>
        </w:rPr>
      </w:pPr>
      <w:r w:rsidRPr="00D51E29">
        <w:rPr>
          <w:rStyle w:val="FootnoteReference"/>
        </w:rPr>
        <w:footnoteRef/>
      </w:r>
      <w:r w:rsidRPr="00D51E29">
        <w:t xml:space="preserve"> See http://www.treasury.gov.au/banking/content/mortgage_key_facts_sheet.htm</w:t>
      </w:r>
    </w:p>
  </w:footnote>
  <w:footnote w:id="15">
    <w:p w:rsidR="00B6282B" w:rsidRPr="00D51E29" w:rsidRDefault="00B6282B" w:rsidP="00BD57DC">
      <w:pPr>
        <w:pStyle w:val="FootnoteText"/>
      </w:pPr>
      <w:r w:rsidRPr="00D51E29">
        <w:rPr>
          <w:rStyle w:val="FootnoteReference"/>
        </w:rPr>
        <w:footnoteRef/>
      </w:r>
      <w:r w:rsidRPr="00D51E29">
        <w:t xml:space="preserve"> </w:t>
      </w:r>
      <w:r w:rsidRPr="00D51E29">
        <w:rPr>
          <w:lang w:val="en-US"/>
        </w:rPr>
        <w:t xml:space="preserve">It is on the public record in various consumer submissions on unfair terms legislation, that this legislation is a vital piece of consumer protection, given the limitations of disclosure and education programs. See for instance National Legal Aid submission to Inquiry into Trade Practices Amendment (ACL), Senate Economics Legislation Committee, 2009 on Australian Consumer Law;  National Legal Aid Submission to Options Paper on Unfair Terms, Treasury, 2010; Consumer Action Law Centre submission to Inquiry into Trade Practices Amendment (ACL), Senate Economics Legislation Committee, 2009 on Australian Consumer Law </w:t>
      </w:r>
    </w:p>
  </w:footnote>
  <w:footnote w:id="16">
    <w:p w:rsidR="00B6282B" w:rsidRPr="00D51E29" w:rsidRDefault="00B6282B" w:rsidP="00BD57DC">
      <w:pPr>
        <w:pStyle w:val="FootnoteText"/>
      </w:pPr>
      <w:r w:rsidRPr="00D51E29">
        <w:rPr>
          <w:rStyle w:val="FootnoteReference"/>
        </w:rPr>
        <w:footnoteRef/>
      </w:r>
      <w:r w:rsidRPr="00D51E29">
        <w:t xml:space="preserve"> </w:t>
      </w:r>
      <w:r w:rsidRPr="00D51E29">
        <w:rPr>
          <w:lang w:val="en-US"/>
        </w:rPr>
        <w:t xml:space="preserve">See for instance Insurance Law Service submission to the 2009 Review of General Insurance Code of Practice; Joint Consumer Submissions to the FOS Terms of Reference, Joint Consumer Submission to Review of ASIC RG 165 &amp; 139; Legal Aid NSW submission to the Review of IOS (2005); National Legal Aid submission to Inquiry into Trade Practices Amendment (ACL), Senate Economics Legislation Committee, 2009 on Australian Consumer Law;  National Legal Aid Submission to Options Paper on Unfair Terms, Treasury, 2010; Consumer Action Law Centre submission to Inquiry into Trade Practices Amendment (ACL), Senate Economics Legislation Committee, 2009 on Australian Consumer Law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50BA"/>
    <w:multiLevelType w:val="hybridMultilevel"/>
    <w:tmpl w:val="6AFE2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DB3F45"/>
    <w:multiLevelType w:val="hybridMultilevel"/>
    <w:tmpl w:val="D7EADEE8"/>
    <w:lvl w:ilvl="0" w:tplc="D4D81208">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0368609D"/>
    <w:multiLevelType w:val="hybridMultilevel"/>
    <w:tmpl w:val="12C0995C"/>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4433CD3"/>
    <w:multiLevelType w:val="hybridMultilevel"/>
    <w:tmpl w:val="404CF0A6"/>
    <w:lvl w:ilvl="0" w:tplc="3FEE16A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4640EBC"/>
    <w:multiLevelType w:val="hybridMultilevel"/>
    <w:tmpl w:val="F1363184"/>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0C637077"/>
    <w:multiLevelType w:val="hybridMultilevel"/>
    <w:tmpl w:val="9604978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6A6A97"/>
    <w:multiLevelType w:val="hybridMultilevel"/>
    <w:tmpl w:val="C9868D60"/>
    <w:lvl w:ilvl="0" w:tplc="0C09000F">
      <w:start w:val="1"/>
      <w:numFmt w:val="decimal"/>
      <w:lvlText w:val="%1."/>
      <w:lvlJc w:val="left"/>
      <w:pPr>
        <w:ind w:left="1080" w:hanging="360"/>
      </w:pPr>
      <w:rPr>
        <w:rFonts w:cs="Times New Roman"/>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7">
    <w:nsid w:val="178A3880"/>
    <w:multiLevelType w:val="hybridMultilevel"/>
    <w:tmpl w:val="920E8822"/>
    <w:lvl w:ilvl="0" w:tplc="B2F4B208">
      <w:numFmt w:val="bullet"/>
      <w:lvlText w:val="-"/>
      <w:lvlJc w:val="left"/>
      <w:pPr>
        <w:ind w:left="360" w:hanging="360"/>
      </w:pPr>
      <w:rPr>
        <w:rFonts w:ascii="Calibri" w:eastAsia="Times New Roman" w:hAnsi="Calibri" w:hint="default"/>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9836E4B"/>
    <w:multiLevelType w:val="hybridMultilevel"/>
    <w:tmpl w:val="64C8D68E"/>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1DB72ED1"/>
    <w:multiLevelType w:val="hybridMultilevel"/>
    <w:tmpl w:val="939645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14B7683"/>
    <w:multiLevelType w:val="hybridMultilevel"/>
    <w:tmpl w:val="83B679A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20A1FEC"/>
    <w:multiLevelType w:val="hybridMultilevel"/>
    <w:tmpl w:val="B4FEF266"/>
    <w:lvl w:ilvl="0" w:tplc="D1D0C572">
      <w:start w:val="1"/>
      <w:numFmt w:val="upperLetter"/>
      <w:lvlText w:val="%1."/>
      <w:lvlJc w:val="left"/>
      <w:pPr>
        <w:ind w:left="-2285" w:hanging="360"/>
      </w:pPr>
      <w:rPr>
        <w:rFonts w:cs="Times New Roman" w:hint="default"/>
        <w:b w:val="0"/>
        <w:i w:val="0"/>
        <w:sz w:val="22"/>
      </w:rPr>
    </w:lvl>
    <w:lvl w:ilvl="1" w:tplc="0C090019" w:tentative="1">
      <w:start w:val="1"/>
      <w:numFmt w:val="lowerLetter"/>
      <w:lvlText w:val="%2."/>
      <w:lvlJc w:val="left"/>
      <w:pPr>
        <w:ind w:left="-1565" w:hanging="360"/>
      </w:pPr>
      <w:rPr>
        <w:rFonts w:cs="Times New Roman"/>
      </w:rPr>
    </w:lvl>
    <w:lvl w:ilvl="2" w:tplc="0C09001B" w:tentative="1">
      <w:start w:val="1"/>
      <w:numFmt w:val="lowerRoman"/>
      <w:lvlText w:val="%3."/>
      <w:lvlJc w:val="right"/>
      <w:pPr>
        <w:ind w:left="-845" w:hanging="180"/>
      </w:pPr>
      <w:rPr>
        <w:rFonts w:cs="Times New Roman"/>
      </w:rPr>
    </w:lvl>
    <w:lvl w:ilvl="3" w:tplc="0C09000F" w:tentative="1">
      <w:start w:val="1"/>
      <w:numFmt w:val="decimal"/>
      <w:lvlText w:val="%4."/>
      <w:lvlJc w:val="left"/>
      <w:pPr>
        <w:ind w:left="-125" w:hanging="360"/>
      </w:pPr>
      <w:rPr>
        <w:rFonts w:cs="Times New Roman"/>
      </w:rPr>
    </w:lvl>
    <w:lvl w:ilvl="4" w:tplc="0C090019" w:tentative="1">
      <w:start w:val="1"/>
      <w:numFmt w:val="lowerLetter"/>
      <w:lvlText w:val="%5."/>
      <w:lvlJc w:val="left"/>
      <w:pPr>
        <w:ind w:left="595" w:hanging="360"/>
      </w:pPr>
      <w:rPr>
        <w:rFonts w:cs="Times New Roman"/>
      </w:rPr>
    </w:lvl>
    <w:lvl w:ilvl="5" w:tplc="0C09001B" w:tentative="1">
      <w:start w:val="1"/>
      <w:numFmt w:val="lowerRoman"/>
      <w:lvlText w:val="%6."/>
      <w:lvlJc w:val="right"/>
      <w:pPr>
        <w:ind w:left="1315" w:hanging="180"/>
      </w:pPr>
      <w:rPr>
        <w:rFonts w:cs="Times New Roman"/>
      </w:rPr>
    </w:lvl>
    <w:lvl w:ilvl="6" w:tplc="0C09000F" w:tentative="1">
      <w:start w:val="1"/>
      <w:numFmt w:val="decimal"/>
      <w:lvlText w:val="%7."/>
      <w:lvlJc w:val="left"/>
      <w:pPr>
        <w:ind w:left="2035" w:hanging="360"/>
      </w:pPr>
      <w:rPr>
        <w:rFonts w:cs="Times New Roman"/>
      </w:rPr>
    </w:lvl>
    <w:lvl w:ilvl="7" w:tplc="0C090019" w:tentative="1">
      <w:start w:val="1"/>
      <w:numFmt w:val="lowerLetter"/>
      <w:lvlText w:val="%8."/>
      <w:lvlJc w:val="left"/>
      <w:pPr>
        <w:ind w:left="2755" w:hanging="360"/>
      </w:pPr>
      <w:rPr>
        <w:rFonts w:cs="Times New Roman"/>
      </w:rPr>
    </w:lvl>
    <w:lvl w:ilvl="8" w:tplc="0C09001B" w:tentative="1">
      <w:start w:val="1"/>
      <w:numFmt w:val="lowerRoman"/>
      <w:lvlText w:val="%9."/>
      <w:lvlJc w:val="right"/>
      <w:pPr>
        <w:ind w:left="3475" w:hanging="180"/>
      </w:pPr>
      <w:rPr>
        <w:rFonts w:cs="Times New Roman"/>
      </w:rPr>
    </w:lvl>
  </w:abstractNum>
  <w:abstractNum w:abstractNumId="12">
    <w:nsid w:val="26293480"/>
    <w:multiLevelType w:val="hybridMultilevel"/>
    <w:tmpl w:val="A3C065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81311B2"/>
    <w:multiLevelType w:val="hybridMultilevel"/>
    <w:tmpl w:val="3C82909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2D665DFA"/>
    <w:multiLevelType w:val="singleLevel"/>
    <w:tmpl w:val="11DC97B4"/>
    <w:lvl w:ilvl="0">
      <w:start w:val="1"/>
      <w:numFmt w:val="upperLetter"/>
      <w:pStyle w:val="AlphaParagraph"/>
      <w:lvlText w:val="%1."/>
      <w:lvlJc w:val="left"/>
      <w:pPr>
        <w:ind w:left="720" w:hanging="360"/>
      </w:pPr>
      <w:rPr>
        <w:rFonts w:cs="Times New Roman"/>
        <w:b w:val="0"/>
        <w:i w:val="0"/>
        <w:sz w:val="22"/>
      </w:rPr>
    </w:lvl>
  </w:abstractNum>
  <w:abstractNum w:abstractNumId="15">
    <w:nsid w:val="2F8B1275"/>
    <w:multiLevelType w:val="hybridMultilevel"/>
    <w:tmpl w:val="61BE3F9A"/>
    <w:lvl w:ilvl="0" w:tplc="D07A72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FA61FE6"/>
    <w:multiLevelType w:val="hybridMultilevel"/>
    <w:tmpl w:val="BF9A1CFC"/>
    <w:lvl w:ilvl="0" w:tplc="D1D0C572">
      <w:start w:val="1"/>
      <w:numFmt w:val="upperLetter"/>
      <w:lvlText w:val="%1."/>
      <w:lvlJc w:val="left"/>
      <w:pPr>
        <w:ind w:left="360" w:hanging="360"/>
      </w:pPr>
      <w:rPr>
        <w:rFonts w:cs="Times New Roman" w:hint="default"/>
        <w:b w:val="0"/>
        <w:i w:val="0"/>
        <w:sz w:val="22"/>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7">
    <w:nsid w:val="3339585E"/>
    <w:multiLevelType w:val="hybridMultilevel"/>
    <w:tmpl w:val="ACACF10C"/>
    <w:lvl w:ilvl="0" w:tplc="0C090015">
      <w:start w:val="1"/>
      <w:numFmt w:val="upperLetter"/>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8">
    <w:nsid w:val="3687190B"/>
    <w:multiLevelType w:val="hybridMultilevel"/>
    <w:tmpl w:val="4ACC0492"/>
    <w:lvl w:ilvl="0" w:tplc="0FEE956E">
      <w:start w:val="13"/>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8E312C2"/>
    <w:multiLevelType w:val="hybridMultilevel"/>
    <w:tmpl w:val="9D36C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11F7271"/>
    <w:multiLevelType w:val="hybridMultilevel"/>
    <w:tmpl w:val="45E6E2D2"/>
    <w:lvl w:ilvl="0" w:tplc="0C09000F">
      <w:start w:val="1"/>
      <w:numFmt w:val="decimal"/>
      <w:lvlText w:val="%1."/>
      <w:lvlJc w:val="left"/>
      <w:pPr>
        <w:ind w:left="1440" w:hanging="360"/>
      </w:pPr>
      <w:rPr>
        <w:rFonts w:cs="Times New Roman"/>
      </w:rPr>
    </w:lvl>
    <w:lvl w:ilvl="1" w:tplc="0C090019">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21">
    <w:nsid w:val="41C73D0B"/>
    <w:multiLevelType w:val="hybridMultilevel"/>
    <w:tmpl w:val="2F927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501254"/>
    <w:multiLevelType w:val="hybridMultilevel"/>
    <w:tmpl w:val="288603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42E5474"/>
    <w:multiLevelType w:val="hybridMultilevel"/>
    <w:tmpl w:val="82E2B09C"/>
    <w:lvl w:ilvl="0" w:tplc="0A12CB6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47320CE2"/>
    <w:multiLevelType w:val="hybridMultilevel"/>
    <w:tmpl w:val="C068C798"/>
    <w:lvl w:ilvl="0" w:tplc="D1D0C572">
      <w:start w:val="1"/>
      <w:numFmt w:val="upperLetter"/>
      <w:lvlText w:val="%1."/>
      <w:lvlJc w:val="left"/>
      <w:pPr>
        <w:ind w:left="360" w:hanging="360"/>
      </w:pPr>
      <w:rPr>
        <w:rFonts w:cs="Times New Roman" w:hint="default"/>
        <w:b w:val="0"/>
        <w:i w:val="0"/>
        <w:sz w:val="22"/>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5">
    <w:nsid w:val="47512E5B"/>
    <w:multiLevelType w:val="hybridMultilevel"/>
    <w:tmpl w:val="5B6CA5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89375F2"/>
    <w:multiLevelType w:val="hybridMultilevel"/>
    <w:tmpl w:val="5174470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A764DBD"/>
    <w:multiLevelType w:val="hybridMultilevel"/>
    <w:tmpl w:val="27266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AB53B02"/>
    <w:multiLevelType w:val="hybridMultilevel"/>
    <w:tmpl w:val="0A98BAF4"/>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nsid w:val="4CA47380"/>
    <w:multiLevelType w:val="hybridMultilevel"/>
    <w:tmpl w:val="9A2AC3F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nsid w:val="4DF56E02"/>
    <w:multiLevelType w:val="hybridMultilevel"/>
    <w:tmpl w:val="1DA83500"/>
    <w:lvl w:ilvl="0" w:tplc="D1D0C572">
      <w:start w:val="1"/>
      <w:numFmt w:val="upperLetter"/>
      <w:lvlText w:val="%1."/>
      <w:lvlJc w:val="left"/>
      <w:pPr>
        <w:ind w:left="360" w:hanging="360"/>
      </w:pPr>
      <w:rPr>
        <w:rFonts w:cs="Times New Roman" w:hint="default"/>
        <w:b w:val="0"/>
        <w:i w:val="0"/>
        <w:sz w:val="22"/>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1">
    <w:nsid w:val="62884857"/>
    <w:multiLevelType w:val="hybridMultilevel"/>
    <w:tmpl w:val="A08E1448"/>
    <w:lvl w:ilvl="0" w:tplc="B036AC2C">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2">
    <w:nsid w:val="65C34586"/>
    <w:multiLevelType w:val="hybridMultilevel"/>
    <w:tmpl w:val="B5226D2E"/>
    <w:lvl w:ilvl="0" w:tplc="0C090015">
      <w:start w:val="1"/>
      <w:numFmt w:val="upperLetter"/>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3">
    <w:nsid w:val="6D517C04"/>
    <w:multiLevelType w:val="hybridMultilevel"/>
    <w:tmpl w:val="122A45D6"/>
    <w:lvl w:ilvl="0" w:tplc="0C090015">
      <w:start w:val="1"/>
      <w:numFmt w:val="upperLetter"/>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4">
    <w:nsid w:val="6D6176D1"/>
    <w:multiLevelType w:val="hybridMultilevel"/>
    <w:tmpl w:val="DD7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14B115C"/>
    <w:multiLevelType w:val="hybridMultilevel"/>
    <w:tmpl w:val="6A6051AC"/>
    <w:lvl w:ilvl="0" w:tplc="7B0257D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7F132B6"/>
    <w:multiLevelType w:val="hybridMultilevel"/>
    <w:tmpl w:val="4E5EFC2E"/>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7">
    <w:nsid w:val="7AAD10F8"/>
    <w:multiLevelType w:val="hybridMultilevel"/>
    <w:tmpl w:val="501A56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CFF1C80"/>
    <w:multiLevelType w:val="hybridMultilevel"/>
    <w:tmpl w:val="09C663E0"/>
    <w:lvl w:ilvl="0" w:tplc="0C090001">
      <w:start w:val="1"/>
      <w:numFmt w:val="bullet"/>
      <w:lvlText w:val=""/>
      <w:lvlJc w:val="left"/>
      <w:pPr>
        <w:ind w:left="776" w:hanging="360"/>
      </w:pPr>
      <w:rPr>
        <w:rFonts w:ascii="Symbol" w:hAnsi="Symbol" w:hint="default"/>
      </w:rPr>
    </w:lvl>
    <w:lvl w:ilvl="1" w:tplc="0C090003">
      <w:start w:val="1"/>
      <w:numFmt w:val="bullet"/>
      <w:lvlText w:val="o"/>
      <w:lvlJc w:val="left"/>
      <w:pPr>
        <w:ind w:left="1496" w:hanging="360"/>
      </w:pPr>
      <w:rPr>
        <w:rFonts w:ascii="Courier New" w:hAnsi="Courier New" w:cs="Courier New" w:hint="default"/>
      </w:rPr>
    </w:lvl>
    <w:lvl w:ilvl="2" w:tplc="0C090005" w:tentative="1">
      <w:start w:val="1"/>
      <w:numFmt w:val="bullet"/>
      <w:lvlText w:val=""/>
      <w:lvlJc w:val="left"/>
      <w:pPr>
        <w:ind w:left="2216" w:hanging="360"/>
      </w:pPr>
      <w:rPr>
        <w:rFonts w:ascii="Wingdings" w:hAnsi="Wingdings" w:hint="default"/>
      </w:rPr>
    </w:lvl>
    <w:lvl w:ilvl="3" w:tplc="0C090001" w:tentative="1">
      <w:start w:val="1"/>
      <w:numFmt w:val="bullet"/>
      <w:lvlText w:val=""/>
      <w:lvlJc w:val="left"/>
      <w:pPr>
        <w:ind w:left="2936" w:hanging="360"/>
      </w:pPr>
      <w:rPr>
        <w:rFonts w:ascii="Symbol" w:hAnsi="Symbol" w:hint="default"/>
      </w:rPr>
    </w:lvl>
    <w:lvl w:ilvl="4" w:tplc="0C090003" w:tentative="1">
      <w:start w:val="1"/>
      <w:numFmt w:val="bullet"/>
      <w:lvlText w:val="o"/>
      <w:lvlJc w:val="left"/>
      <w:pPr>
        <w:ind w:left="3656" w:hanging="360"/>
      </w:pPr>
      <w:rPr>
        <w:rFonts w:ascii="Courier New" w:hAnsi="Courier New" w:cs="Courier New" w:hint="default"/>
      </w:rPr>
    </w:lvl>
    <w:lvl w:ilvl="5" w:tplc="0C090005" w:tentative="1">
      <w:start w:val="1"/>
      <w:numFmt w:val="bullet"/>
      <w:lvlText w:val=""/>
      <w:lvlJc w:val="left"/>
      <w:pPr>
        <w:ind w:left="4376" w:hanging="360"/>
      </w:pPr>
      <w:rPr>
        <w:rFonts w:ascii="Wingdings" w:hAnsi="Wingdings" w:hint="default"/>
      </w:rPr>
    </w:lvl>
    <w:lvl w:ilvl="6" w:tplc="0C090001" w:tentative="1">
      <w:start w:val="1"/>
      <w:numFmt w:val="bullet"/>
      <w:lvlText w:val=""/>
      <w:lvlJc w:val="left"/>
      <w:pPr>
        <w:ind w:left="5096" w:hanging="360"/>
      </w:pPr>
      <w:rPr>
        <w:rFonts w:ascii="Symbol" w:hAnsi="Symbol" w:hint="default"/>
      </w:rPr>
    </w:lvl>
    <w:lvl w:ilvl="7" w:tplc="0C090003" w:tentative="1">
      <w:start w:val="1"/>
      <w:numFmt w:val="bullet"/>
      <w:lvlText w:val="o"/>
      <w:lvlJc w:val="left"/>
      <w:pPr>
        <w:ind w:left="5816" w:hanging="360"/>
      </w:pPr>
      <w:rPr>
        <w:rFonts w:ascii="Courier New" w:hAnsi="Courier New" w:cs="Courier New" w:hint="default"/>
      </w:rPr>
    </w:lvl>
    <w:lvl w:ilvl="8" w:tplc="0C090005" w:tentative="1">
      <w:start w:val="1"/>
      <w:numFmt w:val="bullet"/>
      <w:lvlText w:val=""/>
      <w:lvlJc w:val="left"/>
      <w:pPr>
        <w:ind w:left="6536" w:hanging="360"/>
      </w:pPr>
      <w:rPr>
        <w:rFonts w:ascii="Wingdings" w:hAnsi="Wingdings" w:hint="default"/>
      </w:rPr>
    </w:lvl>
  </w:abstractNum>
  <w:abstractNum w:abstractNumId="39">
    <w:nsid w:val="7D1675DA"/>
    <w:multiLevelType w:val="hybridMultilevel"/>
    <w:tmpl w:val="DB4EDD16"/>
    <w:lvl w:ilvl="0" w:tplc="F14A55C0">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0">
    <w:nsid w:val="7DA31F5A"/>
    <w:multiLevelType w:val="hybridMultilevel"/>
    <w:tmpl w:val="ED60F9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8"/>
  </w:num>
  <w:num w:numId="4">
    <w:abstractNumId w:val="35"/>
  </w:num>
  <w:num w:numId="5">
    <w:abstractNumId w:val="23"/>
  </w:num>
  <w:num w:numId="6">
    <w:abstractNumId w:val="3"/>
  </w:num>
  <w:num w:numId="7">
    <w:abstractNumId w:val="15"/>
  </w:num>
  <w:num w:numId="8">
    <w:abstractNumId w:val="17"/>
  </w:num>
  <w:num w:numId="9">
    <w:abstractNumId w:val="24"/>
  </w:num>
  <w:num w:numId="10">
    <w:abstractNumId w:val="32"/>
  </w:num>
  <w:num w:numId="11">
    <w:abstractNumId w:val="33"/>
  </w:num>
  <w:num w:numId="12">
    <w:abstractNumId w:val="11"/>
  </w:num>
  <w:num w:numId="13">
    <w:abstractNumId w:val="16"/>
  </w:num>
  <w:num w:numId="14">
    <w:abstractNumId w:val="30"/>
  </w:num>
  <w:num w:numId="15">
    <w:abstractNumId w:val="14"/>
  </w:num>
  <w:num w:numId="16">
    <w:abstractNumId w:val="14"/>
    <w:lvlOverride w:ilvl="0">
      <w:startOverride w:val="1"/>
    </w:lvlOverride>
  </w:num>
  <w:num w:numId="1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7"/>
  </w:num>
  <w:num w:numId="20">
    <w:abstractNumId w:val="34"/>
  </w:num>
  <w:num w:numId="21">
    <w:abstractNumId w:val="40"/>
  </w:num>
  <w:num w:numId="22">
    <w:abstractNumId w:val="38"/>
  </w:num>
  <w:num w:numId="23">
    <w:abstractNumId w:val="12"/>
  </w:num>
  <w:num w:numId="24">
    <w:abstractNumId w:val="20"/>
  </w:num>
  <w:num w:numId="25">
    <w:abstractNumId w:val="2"/>
  </w:num>
  <w:num w:numId="26">
    <w:abstractNumId w:val="39"/>
  </w:num>
  <w:num w:numId="27">
    <w:abstractNumId w:val="8"/>
  </w:num>
  <w:num w:numId="28">
    <w:abstractNumId w:val="7"/>
  </w:num>
  <w:num w:numId="29">
    <w:abstractNumId w:val="28"/>
  </w:num>
  <w:num w:numId="30">
    <w:abstractNumId w:val="6"/>
  </w:num>
  <w:num w:numId="31">
    <w:abstractNumId w:val="4"/>
  </w:num>
  <w:num w:numId="32">
    <w:abstractNumId w:val="13"/>
  </w:num>
  <w:num w:numId="33">
    <w:abstractNumId w:val="1"/>
  </w:num>
  <w:num w:numId="34">
    <w:abstractNumId w:val="25"/>
  </w:num>
  <w:num w:numId="35">
    <w:abstractNumId w:val="0"/>
  </w:num>
  <w:num w:numId="36">
    <w:abstractNumId w:val="5"/>
  </w:num>
  <w:num w:numId="37">
    <w:abstractNumId w:val="36"/>
  </w:num>
  <w:num w:numId="38">
    <w:abstractNumId w:val="19"/>
  </w:num>
  <w:num w:numId="39">
    <w:abstractNumId w:val="26"/>
  </w:num>
  <w:num w:numId="40">
    <w:abstractNumId w:val="10"/>
  </w:num>
  <w:num w:numId="41">
    <w:abstractNumId w:val="21"/>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attachedTemplate r:id="rId1"/>
  <w:stylePaneFormatFilter w:val="3F01"/>
  <w:defaultTabStop w:val="720"/>
  <w:characterSpacingControl w:val="doNotCompress"/>
  <w:footnotePr>
    <w:footnote w:id="-1"/>
    <w:footnote w:id="0"/>
  </w:footnotePr>
  <w:endnotePr>
    <w:endnote w:id="-1"/>
    <w:endnote w:id="0"/>
  </w:endnotePr>
  <w:compat/>
  <w:rsids>
    <w:rsidRoot w:val="00C06939"/>
    <w:rsid w:val="00001454"/>
    <w:rsid w:val="000117E8"/>
    <w:rsid w:val="000140C6"/>
    <w:rsid w:val="00016D25"/>
    <w:rsid w:val="0001700F"/>
    <w:rsid w:val="00017FC3"/>
    <w:rsid w:val="00021874"/>
    <w:rsid w:val="00023A7C"/>
    <w:rsid w:val="00024694"/>
    <w:rsid w:val="000274AC"/>
    <w:rsid w:val="00031FF1"/>
    <w:rsid w:val="00034FEB"/>
    <w:rsid w:val="0003703A"/>
    <w:rsid w:val="00041FA7"/>
    <w:rsid w:val="0004441F"/>
    <w:rsid w:val="00044D77"/>
    <w:rsid w:val="00052AC1"/>
    <w:rsid w:val="00053BEA"/>
    <w:rsid w:val="000545BF"/>
    <w:rsid w:val="0006199C"/>
    <w:rsid w:val="000661FD"/>
    <w:rsid w:val="00077DAC"/>
    <w:rsid w:val="0008652F"/>
    <w:rsid w:val="00090473"/>
    <w:rsid w:val="00091481"/>
    <w:rsid w:val="000928FA"/>
    <w:rsid w:val="00092E10"/>
    <w:rsid w:val="000952F4"/>
    <w:rsid w:val="000A079C"/>
    <w:rsid w:val="000A07CD"/>
    <w:rsid w:val="000A0FFE"/>
    <w:rsid w:val="000A18A3"/>
    <w:rsid w:val="000A26BF"/>
    <w:rsid w:val="000A329A"/>
    <w:rsid w:val="000A64C9"/>
    <w:rsid w:val="000B0923"/>
    <w:rsid w:val="000B0AA6"/>
    <w:rsid w:val="000B7E77"/>
    <w:rsid w:val="000C1B98"/>
    <w:rsid w:val="000C21C1"/>
    <w:rsid w:val="000C2440"/>
    <w:rsid w:val="000C28D3"/>
    <w:rsid w:val="000C30AA"/>
    <w:rsid w:val="000C7AF8"/>
    <w:rsid w:val="000D0325"/>
    <w:rsid w:val="000D2401"/>
    <w:rsid w:val="000D2CD3"/>
    <w:rsid w:val="000D3FA2"/>
    <w:rsid w:val="000D5E27"/>
    <w:rsid w:val="000D61BF"/>
    <w:rsid w:val="000E01D3"/>
    <w:rsid w:val="000E08F0"/>
    <w:rsid w:val="000E2BCE"/>
    <w:rsid w:val="000E6C46"/>
    <w:rsid w:val="000F5CD9"/>
    <w:rsid w:val="001054BD"/>
    <w:rsid w:val="00106FBD"/>
    <w:rsid w:val="001136AD"/>
    <w:rsid w:val="00113A14"/>
    <w:rsid w:val="00115DAB"/>
    <w:rsid w:val="00120AB3"/>
    <w:rsid w:val="00127711"/>
    <w:rsid w:val="00132558"/>
    <w:rsid w:val="001347AF"/>
    <w:rsid w:val="00142CB8"/>
    <w:rsid w:val="0015080D"/>
    <w:rsid w:val="001510C3"/>
    <w:rsid w:val="00153563"/>
    <w:rsid w:val="00154C06"/>
    <w:rsid w:val="001557EA"/>
    <w:rsid w:val="00160324"/>
    <w:rsid w:val="00164932"/>
    <w:rsid w:val="00165973"/>
    <w:rsid w:val="00165FD7"/>
    <w:rsid w:val="00170123"/>
    <w:rsid w:val="00170969"/>
    <w:rsid w:val="00172D88"/>
    <w:rsid w:val="00174B4E"/>
    <w:rsid w:val="0018367F"/>
    <w:rsid w:val="00183E1F"/>
    <w:rsid w:val="001844C2"/>
    <w:rsid w:val="0019263F"/>
    <w:rsid w:val="00195CE6"/>
    <w:rsid w:val="00196844"/>
    <w:rsid w:val="001A0A5D"/>
    <w:rsid w:val="001A122D"/>
    <w:rsid w:val="001A4A77"/>
    <w:rsid w:val="001A7037"/>
    <w:rsid w:val="001A79AF"/>
    <w:rsid w:val="001B024B"/>
    <w:rsid w:val="001B0A24"/>
    <w:rsid w:val="001B0B38"/>
    <w:rsid w:val="001B2543"/>
    <w:rsid w:val="001B25DD"/>
    <w:rsid w:val="001B268B"/>
    <w:rsid w:val="001B2F54"/>
    <w:rsid w:val="001B40C3"/>
    <w:rsid w:val="001C3E82"/>
    <w:rsid w:val="001D1312"/>
    <w:rsid w:val="001D14EE"/>
    <w:rsid w:val="001D4CF7"/>
    <w:rsid w:val="001D5A58"/>
    <w:rsid w:val="001E02AA"/>
    <w:rsid w:val="001E2206"/>
    <w:rsid w:val="001E49BC"/>
    <w:rsid w:val="001E4D23"/>
    <w:rsid w:val="001E6485"/>
    <w:rsid w:val="001E69CE"/>
    <w:rsid w:val="001E6EC5"/>
    <w:rsid w:val="001E7080"/>
    <w:rsid w:val="001E7C5C"/>
    <w:rsid w:val="001F4361"/>
    <w:rsid w:val="001F56AB"/>
    <w:rsid w:val="001F5B64"/>
    <w:rsid w:val="001F5CAA"/>
    <w:rsid w:val="002023E4"/>
    <w:rsid w:val="00202DAB"/>
    <w:rsid w:val="00206757"/>
    <w:rsid w:val="002104D1"/>
    <w:rsid w:val="00210F56"/>
    <w:rsid w:val="002135CB"/>
    <w:rsid w:val="00217B85"/>
    <w:rsid w:val="00221B9E"/>
    <w:rsid w:val="00222ACB"/>
    <w:rsid w:val="00222F61"/>
    <w:rsid w:val="00227741"/>
    <w:rsid w:val="002278FA"/>
    <w:rsid w:val="00233575"/>
    <w:rsid w:val="002342B3"/>
    <w:rsid w:val="002351B6"/>
    <w:rsid w:val="00236D21"/>
    <w:rsid w:val="00241FB4"/>
    <w:rsid w:val="00243336"/>
    <w:rsid w:val="00243A46"/>
    <w:rsid w:val="00246202"/>
    <w:rsid w:val="002467D9"/>
    <w:rsid w:val="00246828"/>
    <w:rsid w:val="00247746"/>
    <w:rsid w:val="0025027F"/>
    <w:rsid w:val="00252F79"/>
    <w:rsid w:val="00256ACF"/>
    <w:rsid w:val="00257095"/>
    <w:rsid w:val="00260E92"/>
    <w:rsid w:val="00261C7B"/>
    <w:rsid w:val="00262E2F"/>
    <w:rsid w:val="002636A1"/>
    <w:rsid w:val="00263847"/>
    <w:rsid w:val="002640E7"/>
    <w:rsid w:val="002657F9"/>
    <w:rsid w:val="00265ECE"/>
    <w:rsid w:val="002663A1"/>
    <w:rsid w:val="0026700A"/>
    <w:rsid w:val="002704A8"/>
    <w:rsid w:val="00274553"/>
    <w:rsid w:val="00275A6B"/>
    <w:rsid w:val="00276419"/>
    <w:rsid w:val="00284677"/>
    <w:rsid w:val="00284A64"/>
    <w:rsid w:val="00285D17"/>
    <w:rsid w:val="00287265"/>
    <w:rsid w:val="002874A0"/>
    <w:rsid w:val="00287543"/>
    <w:rsid w:val="002A1DF9"/>
    <w:rsid w:val="002A21A4"/>
    <w:rsid w:val="002A3579"/>
    <w:rsid w:val="002A6D11"/>
    <w:rsid w:val="002B135C"/>
    <w:rsid w:val="002B27EB"/>
    <w:rsid w:val="002B575A"/>
    <w:rsid w:val="002C0327"/>
    <w:rsid w:val="002C18B2"/>
    <w:rsid w:val="002D2721"/>
    <w:rsid w:val="002D49D0"/>
    <w:rsid w:val="002D5FDD"/>
    <w:rsid w:val="002E09D0"/>
    <w:rsid w:val="002E1244"/>
    <w:rsid w:val="002E17BA"/>
    <w:rsid w:val="002E18E7"/>
    <w:rsid w:val="002E39AB"/>
    <w:rsid w:val="002E3B3D"/>
    <w:rsid w:val="002E5B1C"/>
    <w:rsid w:val="002F0330"/>
    <w:rsid w:val="002F05A9"/>
    <w:rsid w:val="002F088A"/>
    <w:rsid w:val="002F1EEE"/>
    <w:rsid w:val="002F447C"/>
    <w:rsid w:val="002F5018"/>
    <w:rsid w:val="002F5F13"/>
    <w:rsid w:val="003035F9"/>
    <w:rsid w:val="00306839"/>
    <w:rsid w:val="003118A9"/>
    <w:rsid w:val="00312829"/>
    <w:rsid w:val="00315986"/>
    <w:rsid w:val="00323152"/>
    <w:rsid w:val="00327591"/>
    <w:rsid w:val="003313E5"/>
    <w:rsid w:val="00332A55"/>
    <w:rsid w:val="00335B26"/>
    <w:rsid w:val="003407F1"/>
    <w:rsid w:val="00340C86"/>
    <w:rsid w:val="00341870"/>
    <w:rsid w:val="00343320"/>
    <w:rsid w:val="00350262"/>
    <w:rsid w:val="00351B04"/>
    <w:rsid w:val="0036356E"/>
    <w:rsid w:val="0036745D"/>
    <w:rsid w:val="00370D1C"/>
    <w:rsid w:val="0037145F"/>
    <w:rsid w:val="00372985"/>
    <w:rsid w:val="00376F51"/>
    <w:rsid w:val="00382D02"/>
    <w:rsid w:val="003839AB"/>
    <w:rsid w:val="00384314"/>
    <w:rsid w:val="00384B4A"/>
    <w:rsid w:val="003903D4"/>
    <w:rsid w:val="00394754"/>
    <w:rsid w:val="00395083"/>
    <w:rsid w:val="003973A7"/>
    <w:rsid w:val="003A395D"/>
    <w:rsid w:val="003A713F"/>
    <w:rsid w:val="003B03BA"/>
    <w:rsid w:val="003B3E3D"/>
    <w:rsid w:val="003B453D"/>
    <w:rsid w:val="003B6807"/>
    <w:rsid w:val="003C1792"/>
    <w:rsid w:val="003C2D71"/>
    <w:rsid w:val="003C3055"/>
    <w:rsid w:val="003C387E"/>
    <w:rsid w:val="003D3BA5"/>
    <w:rsid w:val="003D49D8"/>
    <w:rsid w:val="003D6DDF"/>
    <w:rsid w:val="003E019E"/>
    <w:rsid w:val="003E1C70"/>
    <w:rsid w:val="003F04F5"/>
    <w:rsid w:val="003F2CD5"/>
    <w:rsid w:val="003F4B31"/>
    <w:rsid w:val="003F6E61"/>
    <w:rsid w:val="004027CA"/>
    <w:rsid w:val="004034BF"/>
    <w:rsid w:val="004048CD"/>
    <w:rsid w:val="00406A51"/>
    <w:rsid w:val="00411DCF"/>
    <w:rsid w:val="00413AAB"/>
    <w:rsid w:val="00425A40"/>
    <w:rsid w:val="00426831"/>
    <w:rsid w:val="00430E2C"/>
    <w:rsid w:val="0043162D"/>
    <w:rsid w:val="0043376E"/>
    <w:rsid w:val="0043392B"/>
    <w:rsid w:val="004360CE"/>
    <w:rsid w:val="00437767"/>
    <w:rsid w:val="00440647"/>
    <w:rsid w:val="00442A06"/>
    <w:rsid w:val="00443F58"/>
    <w:rsid w:val="00444B65"/>
    <w:rsid w:val="004464DA"/>
    <w:rsid w:val="00446655"/>
    <w:rsid w:val="0045033C"/>
    <w:rsid w:val="00450D93"/>
    <w:rsid w:val="00451CD1"/>
    <w:rsid w:val="0045422A"/>
    <w:rsid w:val="00455EC2"/>
    <w:rsid w:val="004566D6"/>
    <w:rsid w:val="00457084"/>
    <w:rsid w:val="00457312"/>
    <w:rsid w:val="00461DA4"/>
    <w:rsid w:val="004620C6"/>
    <w:rsid w:val="00464B24"/>
    <w:rsid w:val="00473DAA"/>
    <w:rsid w:val="00477C6A"/>
    <w:rsid w:val="004849D0"/>
    <w:rsid w:val="00490DB1"/>
    <w:rsid w:val="00490F8D"/>
    <w:rsid w:val="00491D61"/>
    <w:rsid w:val="00497405"/>
    <w:rsid w:val="004A1453"/>
    <w:rsid w:val="004A2BCA"/>
    <w:rsid w:val="004A2DFD"/>
    <w:rsid w:val="004A4A5C"/>
    <w:rsid w:val="004A5C8A"/>
    <w:rsid w:val="004A60B3"/>
    <w:rsid w:val="004A7294"/>
    <w:rsid w:val="004A73D7"/>
    <w:rsid w:val="004B120E"/>
    <w:rsid w:val="004B4DC1"/>
    <w:rsid w:val="004B4E4C"/>
    <w:rsid w:val="004C0D02"/>
    <w:rsid w:val="004C163E"/>
    <w:rsid w:val="004C5048"/>
    <w:rsid w:val="004C642C"/>
    <w:rsid w:val="004D1772"/>
    <w:rsid w:val="004D38B0"/>
    <w:rsid w:val="004D7FD6"/>
    <w:rsid w:val="004E6EB8"/>
    <w:rsid w:val="004F24FD"/>
    <w:rsid w:val="004F2CAC"/>
    <w:rsid w:val="004F6053"/>
    <w:rsid w:val="004F68D1"/>
    <w:rsid w:val="004F7F24"/>
    <w:rsid w:val="0050051B"/>
    <w:rsid w:val="00501161"/>
    <w:rsid w:val="00501980"/>
    <w:rsid w:val="00501E0A"/>
    <w:rsid w:val="00506432"/>
    <w:rsid w:val="005119BF"/>
    <w:rsid w:val="00511BA0"/>
    <w:rsid w:val="00513456"/>
    <w:rsid w:val="00513B29"/>
    <w:rsid w:val="00513E45"/>
    <w:rsid w:val="00520C9F"/>
    <w:rsid w:val="00522C5D"/>
    <w:rsid w:val="00524F5B"/>
    <w:rsid w:val="005276EE"/>
    <w:rsid w:val="005301AB"/>
    <w:rsid w:val="00530621"/>
    <w:rsid w:val="00530D59"/>
    <w:rsid w:val="00532664"/>
    <w:rsid w:val="00533BF5"/>
    <w:rsid w:val="00536830"/>
    <w:rsid w:val="00543FDB"/>
    <w:rsid w:val="00550020"/>
    <w:rsid w:val="00550749"/>
    <w:rsid w:val="00550C5D"/>
    <w:rsid w:val="00552504"/>
    <w:rsid w:val="00557582"/>
    <w:rsid w:val="005613A7"/>
    <w:rsid w:val="00562197"/>
    <w:rsid w:val="00562E92"/>
    <w:rsid w:val="005630F7"/>
    <w:rsid w:val="00565C6D"/>
    <w:rsid w:val="00565DF2"/>
    <w:rsid w:val="00570545"/>
    <w:rsid w:val="00573359"/>
    <w:rsid w:val="005742A1"/>
    <w:rsid w:val="00574392"/>
    <w:rsid w:val="005752DD"/>
    <w:rsid w:val="0057589A"/>
    <w:rsid w:val="0058005B"/>
    <w:rsid w:val="00581049"/>
    <w:rsid w:val="0058184F"/>
    <w:rsid w:val="005860DD"/>
    <w:rsid w:val="00587F5A"/>
    <w:rsid w:val="005909D1"/>
    <w:rsid w:val="00590FBD"/>
    <w:rsid w:val="00595F9E"/>
    <w:rsid w:val="00596505"/>
    <w:rsid w:val="00597069"/>
    <w:rsid w:val="00597574"/>
    <w:rsid w:val="005A578A"/>
    <w:rsid w:val="005B0CD4"/>
    <w:rsid w:val="005B2537"/>
    <w:rsid w:val="005B4338"/>
    <w:rsid w:val="005B67B4"/>
    <w:rsid w:val="005C6283"/>
    <w:rsid w:val="005D098D"/>
    <w:rsid w:val="005D24B5"/>
    <w:rsid w:val="005D53DC"/>
    <w:rsid w:val="005D6FDC"/>
    <w:rsid w:val="005E08F3"/>
    <w:rsid w:val="005E4E45"/>
    <w:rsid w:val="005F40E6"/>
    <w:rsid w:val="00601723"/>
    <w:rsid w:val="0060466C"/>
    <w:rsid w:val="006062E6"/>
    <w:rsid w:val="00610B38"/>
    <w:rsid w:val="00610ECB"/>
    <w:rsid w:val="006115FB"/>
    <w:rsid w:val="006221CE"/>
    <w:rsid w:val="0062386E"/>
    <w:rsid w:val="00632DC6"/>
    <w:rsid w:val="006356D4"/>
    <w:rsid w:val="00640C67"/>
    <w:rsid w:val="00641818"/>
    <w:rsid w:val="00646A7D"/>
    <w:rsid w:val="00647726"/>
    <w:rsid w:val="00651561"/>
    <w:rsid w:val="00651D38"/>
    <w:rsid w:val="006533FB"/>
    <w:rsid w:val="006539D7"/>
    <w:rsid w:val="00654E2B"/>
    <w:rsid w:val="00654FAB"/>
    <w:rsid w:val="0066462A"/>
    <w:rsid w:val="006646D7"/>
    <w:rsid w:val="0066617B"/>
    <w:rsid w:val="006702CB"/>
    <w:rsid w:val="00671923"/>
    <w:rsid w:val="006737F1"/>
    <w:rsid w:val="00674E81"/>
    <w:rsid w:val="00674F8C"/>
    <w:rsid w:val="006764CE"/>
    <w:rsid w:val="00677073"/>
    <w:rsid w:val="00680AE2"/>
    <w:rsid w:val="00681E9A"/>
    <w:rsid w:val="00684130"/>
    <w:rsid w:val="006849B4"/>
    <w:rsid w:val="00694B7A"/>
    <w:rsid w:val="00694BAE"/>
    <w:rsid w:val="00697C48"/>
    <w:rsid w:val="00697F9D"/>
    <w:rsid w:val="006A1BAE"/>
    <w:rsid w:val="006A26B7"/>
    <w:rsid w:val="006A2F63"/>
    <w:rsid w:val="006B0614"/>
    <w:rsid w:val="006B1031"/>
    <w:rsid w:val="006B2481"/>
    <w:rsid w:val="006B4224"/>
    <w:rsid w:val="006B582B"/>
    <w:rsid w:val="006C1DE9"/>
    <w:rsid w:val="006D3AD6"/>
    <w:rsid w:val="006D3F44"/>
    <w:rsid w:val="006D4CF6"/>
    <w:rsid w:val="006E4E0E"/>
    <w:rsid w:val="006E5E7D"/>
    <w:rsid w:val="006E76FD"/>
    <w:rsid w:val="006F0261"/>
    <w:rsid w:val="006F6853"/>
    <w:rsid w:val="007101FE"/>
    <w:rsid w:val="00710D38"/>
    <w:rsid w:val="0071104F"/>
    <w:rsid w:val="007111D7"/>
    <w:rsid w:val="00715C49"/>
    <w:rsid w:val="00721551"/>
    <w:rsid w:val="007216D4"/>
    <w:rsid w:val="00725861"/>
    <w:rsid w:val="00730619"/>
    <w:rsid w:val="0073064E"/>
    <w:rsid w:val="0073585C"/>
    <w:rsid w:val="00736F0E"/>
    <w:rsid w:val="00740182"/>
    <w:rsid w:val="00743031"/>
    <w:rsid w:val="00746ED8"/>
    <w:rsid w:val="00752688"/>
    <w:rsid w:val="00752C16"/>
    <w:rsid w:val="00754525"/>
    <w:rsid w:val="007545BF"/>
    <w:rsid w:val="00754F90"/>
    <w:rsid w:val="00756193"/>
    <w:rsid w:val="00756B6D"/>
    <w:rsid w:val="00763914"/>
    <w:rsid w:val="00764F1F"/>
    <w:rsid w:val="00770ACA"/>
    <w:rsid w:val="00772C1E"/>
    <w:rsid w:val="00772CEE"/>
    <w:rsid w:val="00774013"/>
    <w:rsid w:val="007745C5"/>
    <w:rsid w:val="007753EB"/>
    <w:rsid w:val="00775654"/>
    <w:rsid w:val="007765A6"/>
    <w:rsid w:val="00776B0D"/>
    <w:rsid w:val="007810BD"/>
    <w:rsid w:val="00781E09"/>
    <w:rsid w:val="00784579"/>
    <w:rsid w:val="00785040"/>
    <w:rsid w:val="00785A11"/>
    <w:rsid w:val="00786388"/>
    <w:rsid w:val="007910D6"/>
    <w:rsid w:val="00794DD4"/>
    <w:rsid w:val="00796E90"/>
    <w:rsid w:val="007A0CFF"/>
    <w:rsid w:val="007A1939"/>
    <w:rsid w:val="007A2CE4"/>
    <w:rsid w:val="007A67DF"/>
    <w:rsid w:val="007A7727"/>
    <w:rsid w:val="007B1419"/>
    <w:rsid w:val="007B4C60"/>
    <w:rsid w:val="007B58D4"/>
    <w:rsid w:val="007B6676"/>
    <w:rsid w:val="007C224C"/>
    <w:rsid w:val="007C3990"/>
    <w:rsid w:val="007C3A73"/>
    <w:rsid w:val="007C4D63"/>
    <w:rsid w:val="007D4EB9"/>
    <w:rsid w:val="007E2305"/>
    <w:rsid w:val="007E4541"/>
    <w:rsid w:val="007E5452"/>
    <w:rsid w:val="007E67CD"/>
    <w:rsid w:val="007E6EC9"/>
    <w:rsid w:val="007F2DD3"/>
    <w:rsid w:val="0080075E"/>
    <w:rsid w:val="00801EBD"/>
    <w:rsid w:val="00802182"/>
    <w:rsid w:val="00805ACB"/>
    <w:rsid w:val="00806CAF"/>
    <w:rsid w:val="00806D23"/>
    <w:rsid w:val="00813A14"/>
    <w:rsid w:val="00820B3D"/>
    <w:rsid w:val="0082533E"/>
    <w:rsid w:val="008264CA"/>
    <w:rsid w:val="00826726"/>
    <w:rsid w:val="0082731D"/>
    <w:rsid w:val="00836C40"/>
    <w:rsid w:val="00837A9B"/>
    <w:rsid w:val="008418CA"/>
    <w:rsid w:val="0084190B"/>
    <w:rsid w:val="00842239"/>
    <w:rsid w:val="00842BAF"/>
    <w:rsid w:val="0085695C"/>
    <w:rsid w:val="00857ADB"/>
    <w:rsid w:val="00857F88"/>
    <w:rsid w:val="00862D89"/>
    <w:rsid w:val="00862E5F"/>
    <w:rsid w:val="008635C6"/>
    <w:rsid w:val="00864B33"/>
    <w:rsid w:val="0086563B"/>
    <w:rsid w:val="008721C4"/>
    <w:rsid w:val="00874244"/>
    <w:rsid w:val="008763F6"/>
    <w:rsid w:val="0088597C"/>
    <w:rsid w:val="008916C6"/>
    <w:rsid w:val="00895860"/>
    <w:rsid w:val="00895922"/>
    <w:rsid w:val="008962EA"/>
    <w:rsid w:val="0089648B"/>
    <w:rsid w:val="008A0220"/>
    <w:rsid w:val="008A05AA"/>
    <w:rsid w:val="008A30A5"/>
    <w:rsid w:val="008A3333"/>
    <w:rsid w:val="008A6247"/>
    <w:rsid w:val="008A7039"/>
    <w:rsid w:val="008B1AD5"/>
    <w:rsid w:val="008B7387"/>
    <w:rsid w:val="008C0882"/>
    <w:rsid w:val="008C24A5"/>
    <w:rsid w:val="008C3A8B"/>
    <w:rsid w:val="008D31CE"/>
    <w:rsid w:val="008D75E6"/>
    <w:rsid w:val="008E2286"/>
    <w:rsid w:val="008E3296"/>
    <w:rsid w:val="008E4A6A"/>
    <w:rsid w:val="008E68F4"/>
    <w:rsid w:val="008F1922"/>
    <w:rsid w:val="0090010E"/>
    <w:rsid w:val="00906CB8"/>
    <w:rsid w:val="009105E1"/>
    <w:rsid w:val="0091504C"/>
    <w:rsid w:val="0091543E"/>
    <w:rsid w:val="00916CD4"/>
    <w:rsid w:val="00921A6A"/>
    <w:rsid w:val="00921DFE"/>
    <w:rsid w:val="0092240B"/>
    <w:rsid w:val="00923BFA"/>
    <w:rsid w:val="00924E5E"/>
    <w:rsid w:val="00931D78"/>
    <w:rsid w:val="0093661F"/>
    <w:rsid w:val="00936B25"/>
    <w:rsid w:val="00936C64"/>
    <w:rsid w:val="00940D89"/>
    <w:rsid w:val="00942031"/>
    <w:rsid w:val="009420D9"/>
    <w:rsid w:val="00946012"/>
    <w:rsid w:val="009466A6"/>
    <w:rsid w:val="0095133B"/>
    <w:rsid w:val="00951D7F"/>
    <w:rsid w:val="00953323"/>
    <w:rsid w:val="00956140"/>
    <w:rsid w:val="0096139D"/>
    <w:rsid w:val="00962973"/>
    <w:rsid w:val="00965346"/>
    <w:rsid w:val="00970C96"/>
    <w:rsid w:val="00972739"/>
    <w:rsid w:val="009750E9"/>
    <w:rsid w:val="00977590"/>
    <w:rsid w:val="00977BC8"/>
    <w:rsid w:val="00977F37"/>
    <w:rsid w:val="00981833"/>
    <w:rsid w:val="009834F5"/>
    <w:rsid w:val="00983BFC"/>
    <w:rsid w:val="00984D70"/>
    <w:rsid w:val="009934AB"/>
    <w:rsid w:val="009B16B1"/>
    <w:rsid w:val="009B1BE2"/>
    <w:rsid w:val="009B35F1"/>
    <w:rsid w:val="009B3CDC"/>
    <w:rsid w:val="009B41FC"/>
    <w:rsid w:val="009B757F"/>
    <w:rsid w:val="009C1F6A"/>
    <w:rsid w:val="009C293B"/>
    <w:rsid w:val="009C495E"/>
    <w:rsid w:val="009D1247"/>
    <w:rsid w:val="009D1F07"/>
    <w:rsid w:val="009D21EC"/>
    <w:rsid w:val="009E35D2"/>
    <w:rsid w:val="009E70EB"/>
    <w:rsid w:val="009F10B6"/>
    <w:rsid w:val="00A00C08"/>
    <w:rsid w:val="00A06140"/>
    <w:rsid w:val="00A15BA0"/>
    <w:rsid w:val="00A15F47"/>
    <w:rsid w:val="00A21F0C"/>
    <w:rsid w:val="00A22C29"/>
    <w:rsid w:val="00A25E21"/>
    <w:rsid w:val="00A26F1C"/>
    <w:rsid w:val="00A33331"/>
    <w:rsid w:val="00A334E0"/>
    <w:rsid w:val="00A367FD"/>
    <w:rsid w:val="00A36B1C"/>
    <w:rsid w:val="00A53909"/>
    <w:rsid w:val="00A56178"/>
    <w:rsid w:val="00A565DF"/>
    <w:rsid w:val="00A57BFF"/>
    <w:rsid w:val="00A60278"/>
    <w:rsid w:val="00A602E4"/>
    <w:rsid w:val="00A650E0"/>
    <w:rsid w:val="00A67926"/>
    <w:rsid w:val="00A72D20"/>
    <w:rsid w:val="00A778BA"/>
    <w:rsid w:val="00A8224E"/>
    <w:rsid w:val="00A82290"/>
    <w:rsid w:val="00A85330"/>
    <w:rsid w:val="00A85CA2"/>
    <w:rsid w:val="00AA6680"/>
    <w:rsid w:val="00AB2107"/>
    <w:rsid w:val="00AB6749"/>
    <w:rsid w:val="00AB6D2E"/>
    <w:rsid w:val="00AB7069"/>
    <w:rsid w:val="00AB7097"/>
    <w:rsid w:val="00AB7CFB"/>
    <w:rsid w:val="00AC318F"/>
    <w:rsid w:val="00AC321E"/>
    <w:rsid w:val="00AD1FAB"/>
    <w:rsid w:val="00AD2231"/>
    <w:rsid w:val="00AD45FB"/>
    <w:rsid w:val="00AD5743"/>
    <w:rsid w:val="00AD5EDF"/>
    <w:rsid w:val="00AD6C69"/>
    <w:rsid w:val="00AE0442"/>
    <w:rsid w:val="00AE281E"/>
    <w:rsid w:val="00AF0615"/>
    <w:rsid w:val="00AF5F58"/>
    <w:rsid w:val="00B0255A"/>
    <w:rsid w:val="00B02C7B"/>
    <w:rsid w:val="00B038E7"/>
    <w:rsid w:val="00B0402A"/>
    <w:rsid w:val="00B1115A"/>
    <w:rsid w:val="00B1566E"/>
    <w:rsid w:val="00B17F79"/>
    <w:rsid w:val="00B21549"/>
    <w:rsid w:val="00B2409F"/>
    <w:rsid w:val="00B2559C"/>
    <w:rsid w:val="00B32DB5"/>
    <w:rsid w:val="00B404FC"/>
    <w:rsid w:val="00B40738"/>
    <w:rsid w:val="00B45D18"/>
    <w:rsid w:val="00B462AD"/>
    <w:rsid w:val="00B47174"/>
    <w:rsid w:val="00B52997"/>
    <w:rsid w:val="00B52C3D"/>
    <w:rsid w:val="00B5657D"/>
    <w:rsid w:val="00B6282B"/>
    <w:rsid w:val="00B6378E"/>
    <w:rsid w:val="00B648BD"/>
    <w:rsid w:val="00B67578"/>
    <w:rsid w:val="00B677F3"/>
    <w:rsid w:val="00B70FDB"/>
    <w:rsid w:val="00B77FFB"/>
    <w:rsid w:val="00B8095E"/>
    <w:rsid w:val="00B814D2"/>
    <w:rsid w:val="00B81630"/>
    <w:rsid w:val="00B85B5D"/>
    <w:rsid w:val="00B86EEF"/>
    <w:rsid w:val="00B90BC6"/>
    <w:rsid w:val="00B91B32"/>
    <w:rsid w:val="00B94380"/>
    <w:rsid w:val="00B95AEF"/>
    <w:rsid w:val="00B973A7"/>
    <w:rsid w:val="00BA57A4"/>
    <w:rsid w:val="00BB36CF"/>
    <w:rsid w:val="00BB4884"/>
    <w:rsid w:val="00BB6C04"/>
    <w:rsid w:val="00BC2F81"/>
    <w:rsid w:val="00BC3BD4"/>
    <w:rsid w:val="00BC3F56"/>
    <w:rsid w:val="00BC600A"/>
    <w:rsid w:val="00BD169C"/>
    <w:rsid w:val="00BD29E8"/>
    <w:rsid w:val="00BD2D40"/>
    <w:rsid w:val="00BD366A"/>
    <w:rsid w:val="00BD57DC"/>
    <w:rsid w:val="00BD6BE9"/>
    <w:rsid w:val="00BD6ECF"/>
    <w:rsid w:val="00BD7988"/>
    <w:rsid w:val="00BE0BA0"/>
    <w:rsid w:val="00BE5447"/>
    <w:rsid w:val="00BE5F48"/>
    <w:rsid w:val="00BE6D6A"/>
    <w:rsid w:val="00BF1293"/>
    <w:rsid w:val="00BF1C8C"/>
    <w:rsid w:val="00BF434A"/>
    <w:rsid w:val="00BF63EC"/>
    <w:rsid w:val="00C06939"/>
    <w:rsid w:val="00C07CC8"/>
    <w:rsid w:val="00C11A5F"/>
    <w:rsid w:val="00C1302F"/>
    <w:rsid w:val="00C134A6"/>
    <w:rsid w:val="00C1429F"/>
    <w:rsid w:val="00C16C94"/>
    <w:rsid w:val="00C20AE8"/>
    <w:rsid w:val="00C22635"/>
    <w:rsid w:val="00C22B6A"/>
    <w:rsid w:val="00C236A9"/>
    <w:rsid w:val="00C23774"/>
    <w:rsid w:val="00C27FF7"/>
    <w:rsid w:val="00C32F57"/>
    <w:rsid w:val="00C332B5"/>
    <w:rsid w:val="00C34085"/>
    <w:rsid w:val="00C36F62"/>
    <w:rsid w:val="00C45A5C"/>
    <w:rsid w:val="00C46AA7"/>
    <w:rsid w:val="00C52B62"/>
    <w:rsid w:val="00C53ED4"/>
    <w:rsid w:val="00C55745"/>
    <w:rsid w:val="00C60F7A"/>
    <w:rsid w:val="00C62330"/>
    <w:rsid w:val="00C66842"/>
    <w:rsid w:val="00C66D3F"/>
    <w:rsid w:val="00C7046B"/>
    <w:rsid w:val="00C74563"/>
    <w:rsid w:val="00C74BBF"/>
    <w:rsid w:val="00C82686"/>
    <w:rsid w:val="00C85687"/>
    <w:rsid w:val="00C85891"/>
    <w:rsid w:val="00C91E0E"/>
    <w:rsid w:val="00C95064"/>
    <w:rsid w:val="00CA44FC"/>
    <w:rsid w:val="00CB32E2"/>
    <w:rsid w:val="00CB3554"/>
    <w:rsid w:val="00CB469C"/>
    <w:rsid w:val="00CB4A08"/>
    <w:rsid w:val="00CB4B88"/>
    <w:rsid w:val="00CB6D9A"/>
    <w:rsid w:val="00CB7C77"/>
    <w:rsid w:val="00CC30EB"/>
    <w:rsid w:val="00CC5BAB"/>
    <w:rsid w:val="00CC7116"/>
    <w:rsid w:val="00CD525C"/>
    <w:rsid w:val="00CE2FC4"/>
    <w:rsid w:val="00CE53B4"/>
    <w:rsid w:val="00CF2980"/>
    <w:rsid w:val="00CF4F08"/>
    <w:rsid w:val="00CF7C8F"/>
    <w:rsid w:val="00D02C71"/>
    <w:rsid w:val="00D04AE7"/>
    <w:rsid w:val="00D13B2F"/>
    <w:rsid w:val="00D14754"/>
    <w:rsid w:val="00D15BC7"/>
    <w:rsid w:val="00D20036"/>
    <w:rsid w:val="00D219AE"/>
    <w:rsid w:val="00D224DC"/>
    <w:rsid w:val="00D2422E"/>
    <w:rsid w:val="00D27C88"/>
    <w:rsid w:val="00D35760"/>
    <w:rsid w:val="00D40A23"/>
    <w:rsid w:val="00D41954"/>
    <w:rsid w:val="00D45570"/>
    <w:rsid w:val="00D51875"/>
    <w:rsid w:val="00D51B93"/>
    <w:rsid w:val="00D51E29"/>
    <w:rsid w:val="00D5522D"/>
    <w:rsid w:val="00D573A5"/>
    <w:rsid w:val="00D605F5"/>
    <w:rsid w:val="00D623B0"/>
    <w:rsid w:val="00D66CA0"/>
    <w:rsid w:val="00D66DFE"/>
    <w:rsid w:val="00D670FB"/>
    <w:rsid w:val="00D74F87"/>
    <w:rsid w:val="00D818E0"/>
    <w:rsid w:val="00D82C65"/>
    <w:rsid w:val="00D8482A"/>
    <w:rsid w:val="00D849F9"/>
    <w:rsid w:val="00D85204"/>
    <w:rsid w:val="00D86828"/>
    <w:rsid w:val="00D86959"/>
    <w:rsid w:val="00D911A5"/>
    <w:rsid w:val="00D9597B"/>
    <w:rsid w:val="00DA00E1"/>
    <w:rsid w:val="00DB1558"/>
    <w:rsid w:val="00DB31C1"/>
    <w:rsid w:val="00DB4051"/>
    <w:rsid w:val="00DB7828"/>
    <w:rsid w:val="00DC1D21"/>
    <w:rsid w:val="00DC20E4"/>
    <w:rsid w:val="00DC24D9"/>
    <w:rsid w:val="00DC2FA6"/>
    <w:rsid w:val="00DC5F0B"/>
    <w:rsid w:val="00DD0358"/>
    <w:rsid w:val="00DD1A1D"/>
    <w:rsid w:val="00DD2897"/>
    <w:rsid w:val="00DD570B"/>
    <w:rsid w:val="00DD5C13"/>
    <w:rsid w:val="00DD7B55"/>
    <w:rsid w:val="00DD7C84"/>
    <w:rsid w:val="00DE3855"/>
    <w:rsid w:val="00DE66BD"/>
    <w:rsid w:val="00DF1353"/>
    <w:rsid w:val="00DF2329"/>
    <w:rsid w:val="00E00E83"/>
    <w:rsid w:val="00E03CA8"/>
    <w:rsid w:val="00E05F7F"/>
    <w:rsid w:val="00E0636E"/>
    <w:rsid w:val="00E10D17"/>
    <w:rsid w:val="00E129F3"/>
    <w:rsid w:val="00E14EC6"/>
    <w:rsid w:val="00E22B4D"/>
    <w:rsid w:val="00E23EA7"/>
    <w:rsid w:val="00E244F4"/>
    <w:rsid w:val="00E26959"/>
    <w:rsid w:val="00E30CA1"/>
    <w:rsid w:val="00E31D64"/>
    <w:rsid w:val="00E3215F"/>
    <w:rsid w:val="00E32AEE"/>
    <w:rsid w:val="00E33440"/>
    <w:rsid w:val="00E40C3E"/>
    <w:rsid w:val="00E4148E"/>
    <w:rsid w:val="00E41739"/>
    <w:rsid w:val="00E42B29"/>
    <w:rsid w:val="00E44F64"/>
    <w:rsid w:val="00E47C74"/>
    <w:rsid w:val="00E52097"/>
    <w:rsid w:val="00E52DB0"/>
    <w:rsid w:val="00E55E55"/>
    <w:rsid w:val="00E567A2"/>
    <w:rsid w:val="00E60E54"/>
    <w:rsid w:val="00E644D1"/>
    <w:rsid w:val="00E74616"/>
    <w:rsid w:val="00E76CB7"/>
    <w:rsid w:val="00E8004A"/>
    <w:rsid w:val="00E807DC"/>
    <w:rsid w:val="00E808FB"/>
    <w:rsid w:val="00E84AB4"/>
    <w:rsid w:val="00E84BA4"/>
    <w:rsid w:val="00E863E6"/>
    <w:rsid w:val="00E9013F"/>
    <w:rsid w:val="00E95285"/>
    <w:rsid w:val="00E960FE"/>
    <w:rsid w:val="00EB688F"/>
    <w:rsid w:val="00EC01B6"/>
    <w:rsid w:val="00EC1492"/>
    <w:rsid w:val="00EC53A2"/>
    <w:rsid w:val="00EC616E"/>
    <w:rsid w:val="00EC6EB6"/>
    <w:rsid w:val="00ED1887"/>
    <w:rsid w:val="00ED30C8"/>
    <w:rsid w:val="00ED4221"/>
    <w:rsid w:val="00ED5B6F"/>
    <w:rsid w:val="00EE25FC"/>
    <w:rsid w:val="00EF1A11"/>
    <w:rsid w:val="00EF1B16"/>
    <w:rsid w:val="00EF66DC"/>
    <w:rsid w:val="00EF6BB6"/>
    <w:rsid w:val="00EF7814"/>
    <w:rsid w:val="00EF783B"/>
    <w:rsid w:val="00F05A6E"/>
    <w:rsid w:val="00F05D75"/>
    <w:rsid w:val="00F1110F"/>
    <w:rsid w:val="00F11FAA"/>
    <w:rsid w:val="00F17CD8"/>
    <w:rsid w:val="00F21106"/>
    <w:rsid w:val="00F243D8"/>
    <w:rsid w:val="00F30672"/>
    <w:rsid w:val="00F31474"/>
    <w:rsid w:val="00F3202E"/>
    <w:rsid w:val="00F35315"/>
    <w:rsid w:val="00F357C3"/>
    <w:rsid w:val="00F36409"/>
    <w:rsid w:val="00F50E4C"/>
    <w:rsid w:val="00F5370E"/>
    <w:rsid w:val="00F5413E"/>
    <w:rsid w:val="00F628AA"/>
    <w:rsid w:val="00F64E15"/>
    <w:rsid w:val="00F64E97"/>
    <w:rsid w:val="00F65D6B"/>
    <w:rsid w:val="00F7195E"/>
    <w:rsid w:val="00F755A0"/>
    <w:rsid w:val="00F76A61"/>
    <w:rsid w:val="00F8013C"/>
    <w:rsid w:val="00F80440"/>
    <w:rsid w:val="00F81094"/>
    <w:rsid w:val="00F81F8C"/>
    <w:rsid w:val="00F83711"/>
    <w:rsid w:val="00F91FC1"/>
    <w:rsid w:val="00F94D68"/>
    <w:rsid w:val="00FA453F"/>
    <w:rsid w:val="00FA5878"/>
    <w:rsid w:val="00FA6DC8"/>
    <w:rsid w:val="00FB0F68"/>
    <w:rsid w:val="00FB26CE"/>
    <w:rsid w:val="00FB606C"/>
    <w:rsid w:val="00FB675F"/>
    <w:rsid w:val="00FC4CB1"/>
    <w:rsid w:val="00FC4F47"/>
    <w:rsid w:val="00FC6741"/>
    <w:rsid w:val="00FC6BB8"/>
    <w:rsid w:val="00FD025F"/>
    <w:rsid w:val="00FD3189"/>
    <w:rsid w:val="00FD5B46"/>
    <w:rsid w:val="00FE15A8"/>
    <w:rsid w:val="00FE359E"/>
    <w:rsid w:val="00FE55F6"/>
    <w:rsid w:val="00FE7776"/>
    <w:rsid w:val="00FE7EA0"/>
    <w:rsid w:val="00FF07F1"/>
    <w:rsid w:val="00FF2F35"/>
    <w:rsid w:val="00FF2FE6"/>
    <w:rsid w:val="00FF6E7B"/>
    <w:rsid w:val="00FF71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680"/>
    <w:rPr>
      <w:sz w:val="24"/>
      <w:szCs w:val="24"/>
    </w:rPr>
  </w:style>
  <w:style w:type="paragraph" w:styleId="Heading2">
    <w:name w:val="heading 2"/>
    <w:basedOn w:val="Normal"/>
    <w:next w:val="Normal"/>
    <w:link w:val="Heading2Char"/>
    <w:qFormat/>
    <w:rsid w:val="006062E6"/>
    <w:pPr>
      <w:keepNext/>
      <w:outlineLvl w:val="1"/>
    </w:pPr>
    <w:rPr>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12829"/>
    <w:rPr>
      <w:color w:val="0000FF"/>
      <w:u w:val="single"/>
    </w:rPr>
  </w:style>
  <w:style w:type="paragraph" w:styleId="FootnoteText">
    <w:name w:val="footnote text"/>
    <w:basedOn w:val="Normal"/>
    <w:link w:val="FootnoteTextChar"/>
    <w:uiPriority w:val="99"/>
    <w:rsid w:val="008A05AA"/>
    <w:rPr>
      <w:sz w:val="20"/>
      <w:szCs w:val="20"/>
    </w:rPr>
  </w:style>
  <w:style w:type="character" w:styleId="FootnoteReference">
    <w:name w:val="footnote reference"/>
    <w:basedOn w:val="DefaultParagraphFont"/>
    <w:uiPriority w:val="99"/>
    <w:rsid w:val="008A05AA"/>
    <w:rPr>
      <w:vertAlign w:val="superscript"/>
    </w:rPr>
  </w:style>
  <w:style w:type="character" w:styleId="CommentReference">
    <w:name w:val="annotation reference"/>
    <w:basedOn w:val="DefaultParagraphFont"/>
    <w:uiPriority w:val="99"/>
    <w:semiHidden/>
    <w:rsid w:val="006356D4"/>
    <w:rPr>
      <w:sz w:val="16"/>
      <w:szCs w:val="16"/>
    </w:rPr>
  </w:style>
  <w:style w:type="paragraph" w:styleId="CommentText">
    <w:name w:val="annotation text"/>
    <w:basedOn w:val="Normal"/>
    <w:link w:val="CommentTextChar"/>
    <w:uiPriority w:val="99"/>
    <w:semiHidden/>
    <w:rsid w:val="006356D4"/>
    <w:rPr>
      <w:sz w:val="20"/>
      <w:szCs w:val="20"/>
    </w:rPr>
  </w:style>
  <w:style w:type="paragraph" w:styleId="CommentSubject">
    <w:name w:val="annotation subject"/>
    <w:basedOn w:val="CommentText"/>
    <w:next w:val="CommentText"/>
    <w:semiHidden/>
    <w:rsid w:val="006356D4"/>
    <w:rPr>
      <w:b/>
      <w:bCs/>
    </w:rPr>
  </w:style>
  <w:style w:type="paragraph" w:styleId="BalloonText">
    <w:name w:val="Balloon Text"/>
    <w:basedOn w:val="Normal"/>
    <w:semiHidden/>
    <w:rsid w:val="006356D4"/>
    <w:rPr>
      <w:rFonts w:ascii="Tahoma" w:hAnsi="Tahoma" w:cs="Tahoma"/>
      <w:sz w:val="16"/>
      <w:szCs w:val="16"/>
    </w:rPr>
  </w:style>
  <w:style w:type="paragraph" w:styleId="Header">
    <w:name w:val="header"/>
    <w:basedOn w:val="Normal"/>
    <w:rsid w:val="00801EBD"/>
    <w:pPr>
      <w:tabs>
        <w:tab w:val="center" w:pos="4153"/>
        <w:tab w:val="right" w:pos="8306"/>
      </w:tabs>
    </w:pPr>
  </w:style>
  <w:style w:type="paragraph" w:styleId="Footer">
    <w:name w:val="footer"/>
    <w:basedOn w:val="Normal"/>
    <w:link w:val="FooterChar"/>
    <w:uiPriority w:val="99"/>
    <w:rsid w:val="00801EBD"/>
    <w:pPr>
      <w:tabs>
        <w:tab w:val="center" w:pos="4153"/>
        <w:tab w:val="right" w:pos="8306"/>
      </w:tabs>
    </w:pPr>
  </w:style>
  <w:style w:type="character" w:customStyle="1" w:styleId="FooterChar">
    <w:name w:val="Footer Char"/>
    <w:basedOn w:val="DefaultParagraphFont"/>
    <w:link w:val="Footer"/>
    <w:uiPriority w:val="99"/>
    <w:rsid w:val="004620C6"/>
    <w:rPr>
      <w:sz w:val="24"/>
      <w:szCs w:val="24"/>
    </w:rPr>
  </w:style>
  <w:style w:type="character" w:customStyle="1" w:styleId="Heading2Char">
    <w:name w:val="Heading 2 Char"/>
    <w:basedOn w:val="DefaultParagraphFont"/>
    <w:link w:val="Heading2"/>
    <w:rsid w:val="006062E6"/>
    <w:rPr>
      <w:b/>
      <w:bCs/>
      <w:sz w:val="24"/>
      <w:szCs w:val="24"/>
      <w:lang w:val="en-US" w:eastAsia="en-US"/>
    </w:rPr>
  </w:style>
  <w:style w:type="paragraph" w:customStyle="1" w:styleId="BoxText">
    <w:name w:val="Box Text"/>
    <w:basedOn w:val="Normal"/>
    <w:rsid w:val="00E863E6"/>
    <w:pPr>
      <w:spacing w:after="240" w:line="280" w:lineRule="exact"/>
      <w:jc w:val="both"/>
    </w:pPr>
    <w:rPr>
      <w:rFonts w:ascii="Calibri" w:hAnsi="Calibri"/>
      <w:color w:val="000000"/>
      <w:sz w:val="22"/>
      <w:szCs w:val="20"/>
    </w:rPr>
  </w:style>
  <w:style w:type="paragraph" w:customStyle="1" w:styleId="BoxHeading">
    <w:name w:val="Box Heading"/>
    <w:basedOn w:val="Normal"/>
    <w:next w:val="BoxText"/>
    <w:rsid w:val="0088597C"/>
    <w:pPr>
      <w:keepNext/>
      <w:spacing w:before="240" w:after="120"/>
    </w:pPr>
    <w:rPr>
      <w:rFonts w:ascii="Calibri" w:hAnsi="Calibri"/>
      <w:b/>
      <w:color w:val="342E82"/>
      <w:sz w:val="22"/>
      <w:szCs w:val="20"/>
    </w:rPr>
  </w:style>
  <w:style w:type="paragraph" w:customStyle="1" w:styleId="AlphaParagraph">
    <w:name w:val="Alpha Paragraph"/>
    <w:basedOn w:val="Normal"/>
    <w:rsid w:val="00C11A5F"/>
    <w:pPr>
      <w:numPr>
        <w:numId w:val="15"/>
      </w:numPr>
      <w:spacing w:after="240" w:line="280" w:lineRule="exact"/>
      <w:ind w:left="851" w:hanging="284"/>
      <w:jc w:val="both"/>
    </w:pPr>
    <w:rPr>
      <w:rFonts w:ascii="Calibri" w:hAnsi="Calibri"/>
      <w:color w:val="000000"/>
      <w:sz w:val="22"/>
      <w:szCs w:val="20"/>
    </w:rPr>
  </w:style>
  <w:style w:type="paragraph" w:styleId="ListParagraph">
    <w:name w:val="List Paragraph"/>
    <w:basedOn w:val="Normal"/>
    <w:uiPriority w:val="99"/>
    <w:qFormat/>
    <w:rsid w:val="000B0923"/>
    <w:pPr>
      <w:ind w:left="720"/>
    </w:pPr>
    <w:rPr>
      <w:rFonts w:ascii="Calibri" w:eastAsiaTheme="minorHAnsi" w:hAnsi="Calibri"/>
      <w:sz w:val="22"/>
      <w:szCs w:val="22"/>
    </w:rPr>
  </w:style>
  <w:style w:type="table" w:styleId="TableGrid">
    <w:name w:val="Table Grid"/>
    <w:basedOn w:val="TableNormal"/>
    <w:uiPriority w:val="59"/>
    <w:rsid w:val="006B10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25027F"/>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25027F"/>
  </w:style>
  <w:style w:type="character" w:customStyle="1" w:styleId="CommentTextChar">
    <w:name w:val="Comment Text Char"/>
    <w:basedOn w:val="DefaultParagraphFont"/>
    <w:link w:val="CommentText"/>
    <w:uiPriority w:val="99"/>
    <w:semiHidden/>
    <w:rsid w:val="00241FB4"/>
  </w:style>
</w:styles>
</file>

<file path=word/webSettings.xml><?xml version="1.0" encoding="utf-8"?>
<w:webSettings xmlns:r="http://schemas.openxmlformats.org/officeDocument/2006/relationships" xmlns:w="http://schemas.openxmlformats.org/wordprocessingml/2006/main">
  <w:divs>
    <w:div w:id="573516694">
      <w:bodyDiv w:val="1"/>
      <w:marLeft w:val="0"/>
      <w:marRight w:val="0"/>
      <w:marTop w:val="0"/>
      <w:marBottom w:val="0"/>
      <w:divBdr>
        <w:top w:val="none" w:sz="0" w:space="0" w:color="auto"/>
        <w:left w:val="none" w:sz="0" w:space="0" w:color="auto"/>
        <w:bottom w:val="none" w:sz="0" w:space="0" w:color="auto"/>
        <w:right w:val="none" w:sz="0" w:space="0" w:color="auto"/>
      </w:divBdr>
    </w:div>
    <w:div w:id="142005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cid:image004.png@01CC108C.3377D920"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F:\PROCEDURES\Precedents\Policy%20&amp;%20Campaigns%20precedents\Submission%20template%20May%20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EE6E2-EB79-463C-8C3C-C8E2625F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Submission template May 2010.dotx</Template>
  <TotalTime>500</TotalTime>
  <Pages>27</Pages>
  <Words>12227</Words>
  <Characters>63248</Characters>
  <Application>Microsoft Office Word</Application>
  <DocSecurity>0</DocSecurity>
  <Lines>527</Lines>
  <Paragraphs>150</Paragraphs>
  <ScaleCrop>false</ScaleCrop>
  <HeadingPairs>
    <vt:vector size="2" baseType="variant">
      <vt:variant>
        <vt:lpstr>Title</vt:lpstr>
      </vt:variant>
      <vt:variant>
        <vt:i4>1</vt:i4>
      </vt:variant>
    </vt:vector>
  </HeadingPairs>
  <TitlesOfParts>
    <vt:vector size="1" baseType="lpstr">
      <vt:lpstr>February 2007</vt:lpstr>
    </vt:vector>
  </TitlesOfParts>
  <Company>CALC</Company>
  <LinksUpToDate>false</LinksUpToDate>
  <CharactersWithSpaces>75325</CharactersWithSpaces>
  <SharedDoc>false</SharedDoc>
  <HLinks>
    <vt:vector size="6" baseType="variant">
      <vt:variant>
        <vt:i4>2293854</vt:i4>
      </vt:variant>
      <vt:variant>
        <vt:i4>3</vt:i4>
      </vt:variant>
      <vt:variant>
        <vt:i4>0</vt:i4>
      </vt:variant>
      <vt:variant>
        <vt:i4>5</vt:i4>
      </vt:variant>
      <vt:variant>
        <vt:lpwstr>mailto:info@consumeraction.org.au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Submissions: Consultation Paper - Reforming Flood Insurance: Clearing the Waters </dc:title>
  <dc:creator>Consumer Representatives</dc:creator>
  <cp:lastModifiedBy>Hawkins, Nigel</cp:lastModifiedBy>
  <cp:revision>158</cp:revision>
  <cp:lastPrinted>2011-05-05T04:49:00Z</cp:lastPrinted>
  <dcterms:created xsi:type="dcterms:W3CDTF">2011-05-10T23:20:00Z</dcterms:created>
  <dcterms:modified xsi:type="dcterms:W3CDTF">2011-05-19T00:59:00Z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1741739315</vt:i4>
  </property>
  <property fmtid="{D5CDD505-2E9C-101B-9397-08002B2CF9AE}" pid="3" name="_NewReviewCycle">
    <vt:lpwstr/>
  </property>
  <property fmtid="{D5CDD505-2E9C-101B-9397-08002B2CF9AE}" pid="4" name="_EmailSubject">
    <vt:lpwstr>Reforming flood insurance consultation paper</vt:lpwstr>
  </property>
  <property fmtid="{D5CDD505-2E9C-101B-9397-08002B2CF9AE}" pid="5" name="_AuthorEmail">
    <vt:lpwstr>Amber.Daverin-Kenna@TREASURY.GOV.AU</vt:lpwstr>
  </property>
  <property fmtid="{D5CDD505-2E9C-101B-9397-08002B2CF9AE}" pid="6" name="_AuthorEmailDisplayName">
    <vt:lpwstr>Daverin-Kenna, Amber</vt:lpwstr>
  </property>
  <property fmtid="{D5CDD505-2E9C-101B-9397-08002B2CF9AE}" pid="7" name="_ReviewingToolsShownOnce">
    <vt:lpwstr/>
  </property>
</Properties>
</file>